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8" w:type="dxa"/>
        <w:tblLayout w:type="fixed"/>
        <w:tblCellMar>
          <w:left w:w="0" w:type="dxa"/>
          <w:right w:w="0" w:type="dxa"/>
        </w:tblCellMar>
        <w:tblLook w:val="0000" w:firstRow="0" w:lastRow="0" w:firstColumn="0" w:lastColumn="0" w:noHBand="0" w:noVBand="0"/>
      </w:tblPr>
      <w:tblGrid>
        <w:gridCol w:w="2694"/>
        <w:gridCol w:w="6087"/>
      </w:tblGrid>
      <w:tr w:rsidR="00700F90" w:rsidTr="00C44AEF">
        <w:trPr>
          <w:trHeight w:hRule="exact" w:val="170"/>
        </w:trPr>
        <w:tc>
          <w:tcPr>
            <w:tcW w:w="2694" w:type="dxa"/>
            <w:tcBorders>
              <w:top w:val="single" w:sz="6" w:space="0" w:color="auto"/>
            </w:tcBorders>
          </w:tcPr>
          <w:p w:rsidR="00700F90" w:rsidRDefault="00700F90" w:rsidP="00C44AEF">
            <w:pPr>
              <w:rPr>
                <w:rFonts w:ascii="Arial Black" w:hAnsi="Arial Black"/>
                <w:spacing w:val="27"/>
                <w:sz w:val="14"/>
              </w:rPr>
            </w:pPr>
            <w:bookmarkStart w:id="0" w:name="_GoBack"/>
            <w:bookmarkEnd w:id="0"/>
          </w:p>
        </w:tc>
        <w:tc>
          <w:tcPr>
            <w:tcW w:w="6087" w:type="dxa"/>
            <w:tcBorders>
              <w:top w:val="single" w:sz="6" w:space="0" w:color="auto"/>
            </w:tcBorders>
          </w:tcPr>
          <w:p w:rsidR="00700F90" w:rsidRDefault="00700F90" w:rsidP="00C44AEF">
            <w:pPr>
              <w:ind w:left="45"/>
              <w:rPr>
                <w:rFonts w:ascii="Arial Black" w:hAnsi="Arial Black"/>
                <w:spacing w:val="27"/>
                <w:sz w:val="14"/>
              </w:rPr>
            </w:pPr>
            <w:r>
              <w:rPr>
                <w:noProof/>
                <w:lang w:eastAsia="es-ES"/>
              </w:rPr>
              <w:drawing>
                <wp:anchor distT="0" distB="0" distL="114300" distR="114300" simplePos="0" relativeHeight="251663360" behindDoc="0" locked="0" layoutInCell="1" allowOverlap="1">
                  <wp:simplePos x="0" y="0"/>
                  <wp:positionH relativeFrom="column">
                    <wp:posOffset>29845</wp:posOffset>
                  </wp:positionH>
                  <wp:positionV relativeFrom="paragraph">
                    <wp:posOffset>42545</wp:posOffset>
                  </wp:positionV>
                  <wp:extent cx="387985" cy="555625"/>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7985" cy="5556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700F90" w:rsidTr="00C44AEF">
        <w:trPr>
          <w:trHeight w:hRule="exact" w:val="843"/>
        </w:trPr>
        <w:tc>
          <w:tcPr>
            <w:tcW w:w="2694" w:type="dxa"/>
            <w:vAlign w:val="center"/>
          </w:tcPr>
          <w:p w:rsidR="00700F90" w:rsidRDefault="00700F90" w:rsidP="00C44AEF">
            <w:pPr>
              <w:spacing w:before="60"/>
              <w:rPr>
                <w:rFonts w:ascii="Arial" w:hAnsi="Arial"/>
                <w:spacing w:val="27"/>
                <w:sz w:val="14"/>
              </w:rPr>
            </w:pPr>
            <w:r>
              <w:rPr>
                <w:rFonts w:ascii="Arial" w:hAnsi="Arial"/>
                <w:spacing w:val="27"/>
                <w:sz w:val="14"/>
              </w:rPr>
              <w:t>DEPARTAMENTO:</w:t>
            </w:r>
          </w:p>
        </w:tc>
        <w:tc>
          <w:tcPr>
            <w:tcW w:w="6087" w:type="dxa"/>
          </w:tcPr>
          <w:p w:rsidR="00700F90" w:rsidRDefault="00700F90" w:rsidP="00C44AEF">
            <w:pPr>
              <w:pStyle w:val="Encabezado"/>
              <w:rPr>
                <w:rFonts w:ascii="Arial" w:hAnsi="Arial"/>
              </w:rPr>
            </w:pPr>
            <w:r>
              <w:rPr>
                <w:rFonts w:ascii="Arial" w:hAnsi="Arial"/>
              </w:rPr>
              <w:t xml:space="preserve">            Centro de Información Técnica</w:t>
            </w:r>
          </w:p>
          <w:p w:rsidR="00700F90" w:rsidRDefault="00700F90" w:rsidP="00C44AEF">
            <w:pPr>
              <w:rPr>
                <w:rFonts w:ascii="Arial" w:hAnsi="Arial"/>
              </w:rPr>
            </w:pPr>
            <w:r>
              <w:rPr>
                <w:rFonts w:ascii="Arial" w:hAnsi="Arial"/>
              </w:rPr>
              <w:t xml:space="preserve">            de Aplicaciones del Vidrio</w:t>
            </w:r>
          </w:p>
          <w:p w:rsidR="00700F90" w:rsidRDefault="00700F90" w:rsidP="00C44AEF">
            <w:pPr>
              <w:rPr>
                <w:rFonts w:ascii="Arial" w:hAnsi="Arial"/>
                <w:b/>
                <w:bCs/>
              </w:rPr>
            </w:pPr>
            <w:r>
              <w:rPr>
                <w:rFonts w:ascii="Arial" w:hAnsi="Arial"/>
              </w:rPr>
              <w:t xml:space="preserve">            </w:t>
            </w:r>
            <w:r>
              <w:rPr>
                <w:rFonts w:ascii="Arial" w:hAnsi="Arial"/>
                <w:b/>
                <w:bCs/>
              </w:rPr>
              <w:t>Asesoramiento Técnico</w:t>
            </w:r>
          </w:p>
          <w:p w:rsidR="00700F90" w:rsidRDefault="00700F90" w:rsidP="00C44AEF">
            <w:pPr>
              <w:spacing w:after="360"/>
            </w:pPr>
          </w:p>
        </w:tc>
      </w:tr>
      <w:tr w:rsidR="00700F90" w:rsidTr="00C44AEF">
        <w:trPr>
          <w:trHeight w:hRule="exact" w:val="407"/>
        </w:trPr>
        <w:tc>
          <w:tcPr>
            <w:tcW w:w="2694" w:type="dxa"/>
          </w:tcPr>
          <w:p w:rsidR="00700F90" w:rsidRDefault="00700F90" w:rsidP="00C44AEF">
            <w:pPr>
              <w:rPr>
                <w:spacing w:val="27"/>
                <w:sz w:val="14"/>
                <w:lang w:val="en-GB"/>
              </w:rPr>
            </w:pPr>
            <w:smartTag w:uri="urn:schemas-microsoft-com:office:smarttags" w:element="place">
              <w:r>
                <w:rPr>
                  <w:rFonts w:ascii="Arial Black" w:hAnsi="Arial Black"/>
                  <w:spacing w:val="27"/>
                  <w:sz w:val="14"/>
                  <w:lang w:val="en-GB"/>
                </w:rPr>
                <w:t>PARA</w:t>
              </w:r>
            </w:smartTag>
            <w:r>
              <w:rPr>
                <w:rFonts w:ascii="Arial Black" w:hAnsi="Arial Black"/>
                <w:spacing w:val="27"/>
                <w:sz w:val="14"/>
                <w:lang w:val="en-GB"/>
              </w:rPr>
              <w:t xml:space="preserve"> / TO:</w:t>
            </w:r>
          </w:p>
        </w:tc>
        <w:tc>
          <w:tcPr>
            <w:tcW w:w="6087" w:type="dxa"/>
          </w:tcPr>
          <w:p w:rsidR="00700F90" w:rsidRDefault="00700F90" w:rsidP="00C44AEF">
            <w:pPr>
              <w:ind w:left="45"/>
              <w:rPr>
                <w:lang w:val="en-GB"/>
              </w:rPr>
            </w:pPr>
          </w:p>
        </w:tc>
      </w:tr>
      <w:tr w:rsidR="00700F90" w:rsidTr="00C44AEF">
        <w:trPr>
          <w:trHeight w:hRule="exact" w:val="286"/>
        </w:trPr>
        <w:tc>
          <w:tcPr>
            <w:tcW w:w="2694" w:type="dxa"/>
            <w:tcBorders>
              <w:bottom w:val="single" w:sz="6" w:space="0" w:color="auto"/>
            </w:tcBorders>
          </w:tcPr>
          <w:p w:rsidR="00700F90" w:rsidRDefault="00700F90" w:rsidP="00C44AEF">
            <w:pPr>
              <w:spacing w:before="60"/>
              <w:rPr>
                <w:rFonts w:ascii="Arial" w:hAnsi="Arial"/>
                <w:spacing w:val="27"/>
                <w:sz w:val="14"/>
              </w:rPr>
            </w:pPr>
            <w:r>
              <w:rPr>
                <w:rFonts w:ascii="Arial" w:hAnsi="Arial"/>
                <w:spacing w:val="27"/>
                <w:sz w:val="14"/>
              </w:rPr>
              <w:t>FECHA / DATE:</w:t>
            </w:r>
          </w:p>
        </w:tc>
        <w:tc>
          <w:tcPr>
            <w:tcW w:w="6087" w:type="dxa"/>
            <w:tcBorders>
              <w:bottom w:val="single" w:sz="6" w:space="0" w:color="auto"/>
            </w:tcBorders>
          </w:tcPr>
          <w:p w:rsidR="00700F90" w:rsidRDefault="004972D8" w:rsidP="00C44AEF">
            <w:pPr>
              <w:ind w:left="45"/>
            </w:pPr>
            <w:r>
              <w:t xml:space="preserve">Madrid, a </w:t>
            </w:r>
            <w:r w:rsidR="00700F90">
              <w:t>01 de marzo de 2016</w:t>
            </w:r>
          </w:p>
        </w:tc>
      </w:tr>
    </w:tbl>
    <w:p w:rsidR="00700F90" w:rsidRDefault="00700F90" w:rsidP="00700F90">
      <w:pPr>
        <w:pStyle w:val="Asunto"/>
        <w:spacing w:before="0" w:after="0"/>
        <w:rPr>
          <w:b/>
          <w:u w:val="single"/>
        </w:rPr>
      </w:pPr>
    </w:p>
    <w:p w:rsidR="00700F90" w:rsidRDefault="00700F90" w:rsidP="00700F90">
      <w:pPr>
        <w:pStyle w:val="Asunto"/>
        <w:spacing w:before="0" w:after="0"/>
        <w:rPr>
          <w:b/>
          <w:u w:val="single"/>
        </w:rPr>
      </w:pPr>
    </w:p>
    <w:p w:rsidR="00700F90" w:rsidRDefault="00700F90" w:rsidP="00700F90">
      <w:pPr>
        <w:pStyle w:val="Asunto"/>
        <w:pBdr>
          <w:top w:val="single" w:sz="4" w:space="1" w:color="auto"/>
          <w:left w:val="single" w:sz="4" w:space="4" w:color="auto"/>
          <w:bottom w:val="single" w:sz="4" w:space="1" w:color="auto"/>
          <w:right w:val="single" w:sz="4" w:space="4" w:color="auto"/>
        </w:pBdr>
        <w:spacing w:before="0" w:after="0"/>
        <w:rPr>
          <w:b/>
          <w:sz w:val="24"/>
          <w:szCs w:val="24"/>
        </w:rPr>
      </w:pPr>
      <w:r>
        <w:rPr>
          <w:b/>
          <w:szCs w:val="24"/>
        </w:rPr>
        <w:t>Nota Técnica</w:t>
      </w:r>
      <w:r w:rsidRPr="00624842">
        <w:rPr>
          <w:b/>
          <w:szCs w:val="24"/>
        </w:rPr>
        <w:t xml:space="preserve">: </w:t>
      </w:r>
      <w:r>
        <w:rPr>
          <w:b/>
          <w:sz w:val="24"/>
          <w:szCs w:val="24"/>
        </w:rPr>
        <w:t xml:space="preserve">Defectos visuales y ópticos en </w:t>
      </w:r>
      <w:r w:rsidR="00D14D4F">
        <w:rPr>
          <w:b/>
          <w:sz w:val="24"/>
          <w:szCs w:val="24"/>
        </w:rPr>
        <w:t>Unidad</w:t>
      </w:r>
      <w:r w:rsidR="00F5141C">
        <w:rPr>
          <w:b/>
          <w:sz w:val="24"/>
          <w:szCs w:val="24"/>
        </w:rPr>
        <w:t>es</w:t>
      </w:r>
      <w:r w:rsidR="00D14D4F">
        <w:rPr>
          <w:b/>
          <w:sz w:val="24"/>
          <w:szCs w:val="24"/>
        </w:rPr>
        <w:t xml:space="preserve"> de Vidrio Aislante </w:t>
      </w:r>
      <w:r>
        <w:rPr>
          <w:b/>
          <w:sz w:val="24"/>
          <w:szCs w:val="24"/>
        </w:rPr>
        <w:t xml:space="preserve"> </w:t>
      </w:r>
    </w:p>
    <w:p w:rsidR="00B54FB4" w:rsidRPr="00700F90" w:rsidRDefault="00B54FB4" w:rsidP="00B54FB4">
      <w:pPr>
        <w:tabs>
          <w:tab w:val="left" w:pos="7016"/>
        </w:tabs>
        <w:rPr>
          <w:lang w:val="es-ES_tradnl"/>
        </w:rPr>
      </w:pPr>
    </w:p>
    <w:p w:rsidR="00CD7BA2" w:rsidRPr="00C55CA4" w:rsidRDefault="006750B0" w:rsidP="00CD7BA2">
      <w:pPr>
        <w:jc w:val="both"/>
      </w:pPr>
      <w:r>
        <w:t>En l</w:t>
      </w:r>
      <w:r w:rsidR="00CD7BA2" w:rsidRPr="00C55CA4">
        <w:t>a siguiente nota técnica</w:t>
      </w:r>
      <w:r>
        <w:t xml:space="preserve"> se</w:t>
      </w:r>
      <w:r w:rsidR="00CD7BA2" w:rsidRPr="00C55CA4">
        <w:t xml:space="preserve"> recoge</w:t>
      </w:r>
      <w:r>
        <w:t>n</w:t>
      </w:r>
      <w:r w:rsidR="00CD7BA2" w:rsidRPr="00C55CA4">
        <w:t xml:space="preserve"> los defectos ópticos y visuales admisibles </w:t>
      </w:r>
      <w:r w:rsidR="00CD7BA2">
        <w:t>de la Unidad de Vidrio Aislante (U.V.A.) establecidos según la norma</w:t>
      </w:r>
      <w:r w:rsidR="00CD7BA2" w:rsidRPr="00C55CA4">
        <w:t xml:space="preserve"> </w:t>
      </w:r>
      <w:r w:rsidR="00CD7BA2" w:rsidRPr="00C55CA4">
        <w:rPr>
          <w:b/>
        </w:rPr>
        <w:t xml:space="preserve">UNE EN </w:t>
      </w:r>
      <w:r w:rsidR="00CD7BA2">
        <w:rPr>
          <w:b/>
        </w:rPr>
        <w:t xml:space="preserve">1279 – 1 </w:t>
      </w:r>
      <w:r w:rsidR="00CD7BA2" w:rsidRPr="00C55CA4">
        <w:rPr>
          <w:b/>
        </w:rPr>
        <w:t xml:space="preserve"> Vidrio para la edificación </w:t>
      </w:r>
      <w:r w:rsidR="00CD7BA2">
        <w:rPr>
          <w:b/>
        </w:rPr>
        <w:t>–</w:t>
      </w:r>
      <w:r w:rsidR="00CD7BA2" w:rsidRPr="00C55CA4">
        <w:rPr>
          <w:b/>
        </w:rPr>
        <w:t xml:space="preserve"> </w:t>
      </w:r>
      <w:r w:rsidR="00CD7BA2">
        <w:rPr>
          <w:b/>
        </w:rPr>
        <w:t>Unidades de vidrio aislante.</w:t>
      </w:r>
    </w:p>
    <w:p w:rsidR="00CD7BA2" w:rsidRPr="00C55CA4" w:rsidRDefault="00CD7BA2" w:rsidP="00CD7BA2">
      <w:pPr>
        <w:jc w:val="both"/>
      </w:pPr>
    </w:p>
    <w:p w:rsidR="00CD7BA2" w:rsidRPr="00C55CA4" w:rsidRDefault="00CD7BA2" w:rsidP="00CD7BA2">
      <w:pPr>
        <w:jc w:val="both"/>
        <w:rPr>
          <w:b/>
          <w:u w:val="single"/>
        </w:rPr>
      </w:pPr>
      <w:r w:rsidRPr="00C55CA4">
        <w:tab/>
      </w:r>
      <w:r>
        <w:rPr>
          <w:b/>
          <w:sz w:val="24"/>
          <w:u w:val="single"/>
        </w:rPr>
        <w:t>Calidad visual y óptica de las unidades de vidrio aislante</w:t>
      </w:r>
    </w:p>
    <w:p w:rsidR="00CD7BA2" w:rsidRPr="00C55CA4" w:rsidRDefault="00CD7BA2" w:rsidP="00CD7BA2">
      <w:pPr>
        <w:jc w:val="both"/>
      </w:pPr>
      <w:r w:rsidRPr="00C55CA4">
        <w:tab/>
      </w:r>
    </w:p>
    <w:p w:rsidR="00CD7BA2" w:rsidRDefault="00CD7BA2" w:rsidP="00CD7BA2">
      <w:pPr>
        <w:ind w:left="708"/>
        <w:jc w:val="both"/>
      </w:pPr>
      <w:r>
        <w:t>Los requisitos de calidad visual y óptica para acristalamiento en Unidades de Vidrio Aislante están descritos en las correspondientes normas europeas:</w:t>
      </w:r>
    </w:p>
    <w:p w:rsidR="00CD7BA2" w:rsidRDefault="00CD7BA2" w:rsidP="00CD7BA2">
      <w:pPr>
        <w:ind w:left="708"/>
      </w:pPr>
    </w:p>
    <w:p w:rsidR="00CD7BA2" w:rsidRDefault="00CD7BA2" w:rsidP="00CD7BA2">
      <w:pPr>
        <w:pStyle w:val="Prrafodelista"/>
        <w:numPr>
          <w:ilvl w:val="0"/>
          <w:numId w:val="4"/>
        </w:numPr>
        <w:jc w:val="both"/>
      </w:pPr>
      <w:r>
        <w:t xml:space="preserve">Vidrios planos: UNE EN 572 – 2. Vidrio para la edificación. Productos básicos de vidrio. Vidrio de silicato </w:t>
      </w:r>
      <w:proofErr w:type="spellStart"/>
      <w:r>
        <w:t>sodocálcico</w:t>
      </w:r>
      <w:proofErr w:type="spellEnd"/>
      <w:r>
        <w:t>.</w:t>
      </w:r>
    </w:p>
    <w:p w:rsidR="00CD7BA2" w:rsidRDefault="00CD7BA2" w:rsidP="00CD7BA2">
      <w:pPr>
        <w:jc w:val="both"/>
      </w:pPr>
    </w:p>
    <w:p w:rsidR="00CD7BA2" w:rsidRDefault="00CD7BA2" w:rsidP="00CD7BA2">
      <w:pPr>
        <w:pStyle w:val="Prrafodelista"/>
        <w:numPr>
          <w:ilvl w:val="0"/>
          <w:numId w:val="4"/>
        </w:numPr>
        <w:jc w:val="both"/>
      </w:pPr>
      <w:r>
        <w:t>Vidrios de Capa: UNE EN 1096 – 1. Vidrio para la edificación. Vidrio de capa.</w:t>
      </w:r>
    </w:p>
    <w:p w:rsidR="00CD7BA2" w:rsidRDefault="00CD7BA2" w:rsidP="00CD7BA2">
      <w:pPr>
        <w:pStyle w:val="Prrafodelista"/>
        <w:jc w:val="both"/>
      </w:pPr>
    </w:p>
    <w:p w:rsidR="00CD7BA2" w:rsidRDefault="00CD7BA2" w:rsidP="00CD7BA2">
      <w:pPr>
        <w:pStyle w:val="Prrafodelista"/>
        <w:numPr>
          <w:ilvl w:val="0"/>
          <w:numId w:val="4"/>
        </w:numPr>
        <w:jc w:val="both"/>
      </w:pPr>
      <w:r>
        <w:t xml:space="preserve">Vidrios </w:t>
      </w:r>
      <w:proofErr w:type="spellStart"/>
      <w:r>
        <w:t>Termoendurecidos</w:t>
      </w:r>
      <w:proofErr w:type="spellEnd"/>
      <w:r>
        <w:t xml:space="preserve">: UNE EN 1863 – 1. Vidrio para la edificación. Vidrio de silicato </w:t>
      </w:r>
      <w:proofErr w:type="spellStart"/>
      <w:r>
        <w:t>sodocálcico</w:t>
      </w:r>
      <w:proofErr w:type="spellEnd"/>
      <w:r>
        <w:t xml:space="preserve"> </w:t>
      </w:r>
      <w:proofErr w:type="spellStart"/>
      <w:r>
        <w:t>termoendurecido</w:t>
      </w:r>
      <w:proofErr w:type="spellEnd"/>
      <w:r>
        <w:t>.</w:t>
      </w:r>
    </w:p>
    <w:p w:rsidR="00CD7BA2" w:rsidRDefault="00CD7BA2" w:rsidP="00CD7BA2">
      <w:pPr>
        <w:pStyle w:val="Prrafodelista"/>
        <w:jc w:val="both"/>
      </w:pPr>
    </w:p>
    <w:p w:rsidR="00CD7BA2" w:rsidRDefault="00CD7BA2" w:rsidP="00CD7BA2">
      <w:pPr>
        <w:pStyle w:val="Prrafodelista"/>
        <w:numPr>
          <w:ilvl w:val="0"/>
          <w:numId w:val="4"/>
        </w:numPr>
        <w:jc w:val="both"/>
      </w:pPr>
      <w:r>
        <w:t xml:space="preserve">Vidrios Templados: UNE EN 12150 – 1. Vidrio para la edificación. Vidrio de silicato </w:t>
      </w:r>
      <w:proofErr w:type="spellStart"/>
      <w:r>
        <w:t>sodocálcico</w:t>
      </w:r>
      <w:proofErr w:type="spellEnd"/>
      <w:r>
        <w:t xml:space="preserve"> de seguridad templado térmicamente.</w:t>
      </w:r>
    </w:p>
    <w:p w:rsidR="00CD7BA2" w:rsidRDefault="00CD7BA2" w:rsidP="00CD7BA2">
      <w:pPr>
        <w:pStyle w:val="Prrafodelista"/>
        <w:jc w:val="both"/>
      </w:pPr>
    </w:p>
    <w:p w:rsidR="00CD7BA2" w:rsidRDefault="00CD7BA2" w:rsidP="00CD7BA2">
      <w:pPr>
        <w:pStyle w:val="Prrafodelista"/>
        <w:numPr>
          <w:ilvl w:val="0"/>
          <w:numId w:val="4"/>
        </w:numPr>
        <w:jc w:val="both"/>
      </w:pPr>
      <w:r>
        <w:t>Vidrios Laminares: UNE EN 12543 – 6. Vidrio para la edificación. Vidrio laminado y vidrio de seguridad. Parte 6: Aspecto.</w:t>
      </w:r>
    </w:p>
    <w:p w:rsidR="00CD7BA2" w:rsidRDefault="00CD7BA2" w:rsidP="00CD7BA2">
      <w:pPr>
        <w:pStyle w:val="Prrafodelista"/>
      </w:pPr>
    </w:p>
    <w:p w:rsidR="00CD7BA2" w:rsidRDefault="00CD7BA2" w:rsidP="00CD7BA2">
      <w:pPr>
        <w:ind w:left="708"/>
      </w:pPr>
    </w:p>
    <w:p w:rsidR="00D14D4F" w:rsidRDefault="00D14D4F" w:rsidP="00CD7BA2">
      <w:pPr>
        <w:ind w:left="708"/>
        <w:jc w:val="both"/>
        <w:rPr>
          <w:b/>
          <w:sz w:val="24"/>
        </w:rPr>
      </w:pPr>
    </w:p>
    <w:p w:rsidR="00D14D4F" w:rsidRDefault="00D14D4F" w:rsidP="00CD7BA2">
      <w:pPr>
        <w:ind w:left="708"/>
        <w:jc w:val="both"/>
        <w:rPr>
          <w:b/>
          <w:sz w:val="24"/>
        </w:rPr>
      </w:pPr>
    </w:p>
    <w:p w:rsidR="00CD7BA2" w:rsidRPr="00FC7DE9" w:rsidRDefault="00CD7BA2" w:rsidP="00CD7BA2">
      <w:pPr>
        <w:ind w:left="708"/>
        <w:jc w:val="both"/>
        <w:rPr>
          <w:b/>
          <w:sz w:val="24"/>
        </w:rPr>
      </w:pPr>
      <w:r>
        <w:rPr>
          <w:b/>
          <w:sz w:val="24"/>
        </w:rPr>
        <w:t xml:space="preserve">NOTA: </w:t>
      </w:r>
      <w:r w:rsidRPr="00FC7DE9">
        <w:rPr>
          <w:b/>
          <w:sz w:val="24"/>
        </w:rPr>
        <w:t>Según norma UNE EN 1279 – 1 Ane</w:t>
      </w:r>
      <w:r>
        <w:rPr>
          <w:b/>
          <w:sz w:val="24"/>
        </w:rPr>
        <w:t>xo C, no se consideran defectos</w:t>
      </w:r>
    </w:p>
    <w:p w:rsidR="00CD7BA2" w:rsidRDefault="00CD7BA2" w:rsidP="00CD7BA2">
      <w:pPr>
        <w:ind w:left="708"/>
        <w:jc w:val="both"/>
        <w:rPr>
          <w:b/>
          <w:sz w:val="24"/>
          <w:u w:val="single"/>
        </w:rPr>
      </w:pPr>
    </w:p>
    <w:p w:rsidR="00CD7BA2" w:rsidRPr="00226B45" w:rsidRDefault="00CD7BA2" w:rsidP="00CD7BA2">
      <w:pPr>
        <w:ind w:left="708"/>
        <w:jc w:val="both"/>
        <w:rPr>
          <w:b/>
          <w:sz w:val="24"/>
        </w:rPr>
      </w:pPr>
      <w:r w:rsidRPr="00226B45">
        <w:rPr>
          <w:b/>
          <w:sz w:val="24"/>
        </w:rPr>
        <w:t xml:space="preserve">Franjas de </w:t>
      </w:r>
      <w:proofErr w:type="spellStart"/>
      <w:r w:rsidRPr="00226B45">
        <w:rPr>
          <w:b/>
          <w:sz w:val="24"/>
        </w:rPr>
        <w:t>Brewster</w:t>
      </w:r>
      <w:proofErr w:type="spellEnd"/>
      <w:r w:rsidRPr="00226B45">
        <w:rPr>
          <w:b/>
          <w:sz w:val="24"/>
        </w:rPr>
        <w:t>:</w:t>
      </w:r>
    </w:p>
    <w:p w:rsidR="00CD7BA2" w:rsidRDefault="00CD7BA2" w:rsidP="00CD7BA2">
      <w:pPr>
        <w:ind w:left="708"/>
        <w:jc w:val="both"/>
      </w:pPr>
      <w:r>
        <w:t xml:space="preserve">Cuando el paralelismo del panel de vidrio es casi perfecto y cuando la superficie del vidrio es de muy buena calidad, aparece una coloración de interferencia en la unidad de vidrio aislante. Son líneas de color cambiante que resultan de la descomposición del espectro luminoso. Cuando la fuente luminosa es el sol, lo colores varían del rojo al azul. </w:t>
      </w:r>
    </w:p>
    <w:p w:rsidR="00CD7BA2" w:rsidRDefault="00CD7BA2" w:rsidP="00CD7BA2">
      <w:pPr>
        <w:ind w:left="708"/>
        <w:jc w:val="both"/>
      </w:pPr>
    </w:p>
    <w:p w:rsidR="00CD7BA2" w:rsidRDefault="00CD7BA2" w:rsidP="00CD7BA2">
      <w:pPr>
        <w:ind w:left="708"/>
        <w:jc w:val="both"/>
        <w:rPr>
          <w:b/>
          <w:sz w:val="24"/>
        </w:rPr>
      </w:pPr>
    </w:p>
    <w:p w:rsidR="00CD7BA2" w:rsidRDefault="00CD7BA2" w:rsidP="00CD7BA2">
      <w:pPr>
        <w:ind w:left="708"/>
        <w:jc w:val="both"/>
        <w:rPr>
          <w:b/>
          <w:sz w:val="24"/>
        </w:rPr>
      </w:pPr>
    </w:p>
    <w:p w:rsidR="00CD7BA2" w:rsidRDefault="00CD7BA2" w:rsidP="00CD7BA2">
      <w:pPr>
        <w:ind w:left="708"/>
        <w:jc w:val="both"/>
        <w:rPr>
          <w:b/>
          <w:sz w:val="24"/>
        </w:rPr>
      </w:pPr>
    </w:p>
    <w:p w:rsidR="00CD7BA2" w:rsidRPr="00226B45" w:rsidRDefault="00CD7BA2" w:rsidP="00CD7BA2">
      <w:pPr>
        <w:ind w:left="708"/>
        <w:jc w:val="both"/>
        <w:rPr>
          <w:b/>
          <w:sz w:val="24"/>
        </w:rPr>
      </w:pPr>
      <w:r w:rsidRPr="00226B45">
        <w:rPr>
          <w:b/>
          <w:sz w:val="24"/>
        </w:rPr>
        <w:t>Anillos de Newton:</w:t>
      </w:r>
    </w:p>
    <w:p w:rsidR="00CD7BA2" w:rsidRDefault="00CD7BA2" w:rsidP="00CD7BA2">
      <w:pPr>
        <w:ind w:left="708"/>
        <w:jc w:val="both"/>
      </w:pPr>
      <w:r>
        <w:t>Este defecto óptico solo ocurre en unidades de vidrio aislante defectuosas cuando las dos hojas de vidrio se tocan o casi se tocan en el centro. El efecto óptico es una serie de anillos coloreados concéntricos, siendo el centro el punto donde existe el contacto o casi el contacto entre las dos hojas de vidrio. Los anillos son aproximadamente circulares o elípticos.</w:t>
      </w:r>
    </w:p>
    <w:p w:rsidR="00CD7BA2" w:rsidRDefault="00CD7BA2" w:rsidP="00CD7BA2">
      <w:pPr>
        <w:ind w:left="708"/>
        <w:jc w:val="both"/>
      </w:pPr>
    </w:p>
    <w:p w:rsidR="00CD7BA2" w:rsidRPr="00226B45" w:rsidRDefault="00CD7BA2" w:rsidP="004234E9">
      <w:pPr>
        <w:ind w:left="708"/>
        <w:jc w:val="both"/>
        <w:rPr>
          <w:b/>
          <w:sz w:val="24"/>
        </w:rPr>
      </w:pPr>
      <w:r w:rsidRPr="00226B45">
        <w:rPr>
          <w:b/>
          <w:sz w:val="24"/>
        </w:rPr>
        <w:t>Deformación del vidrio debida a las variaciones de temperatura y a la presión barométrica:</w:t>
      </w:r>
    </w:p>
    <w:p w:rsidR="00CD7BA2" w:rsidRDefault="00CD7BA2" w:rsidP="00CD7BA2">
      <w:pPr>
        <w:ind w:left="708"/>
        <w:jc w:val="both"/>
      </w:pPr>
      <w:r>
        <w:t xml:space="preserve">Las variaciones de temperatura en la cámara </w:t>
      </w:r>
      <w:proofErr w:type="gramStart"/>
      <w:r>
        <w:t>rellena</w:t>
      </w:r>
      <w:proofErr w:type="gramEnd"/>
      <w:r>
        <w:t xml:space="preserve"> de aire o gas y las variaciones de la presión barométrica de la atmosfera y con la altitud conllevan la contracción y la dilatación del aire y/o gas en la cámara y, consecuentemente, deformaciones de los paneles de vidrio, lo que provoca una distorsión de las imágenes reflejadas. Estas deformaciones, que no pueden ser evitadas, varían con el tiempo. La magnitud depende en parte de la rigidez y de la dimensión de los paneles de vidrio así como de la anchura de la cámara. Dimensiones reducidas, vidrios gruesos y/o cámaras de pequeña dimensión reducen estas deformaciones de forma significativa.</w:t>
      </w:r>
    </w:p>
    <w:p w:rsidR="00CD7BA2" w:rsidRDefault="00CD7BA2" w:rsidP="00CD7BA2">
      <w:pPr>
        <w:ind w:left="708"/>
        <w:jc w:val="both"/>
      </w:pPr>
    </w:p>
    <w:p w:rsidR="00CD7BA2" w:rsidRPr="00226B45" w:rsidRDefault="00CD7BA2" w:rsidP="00CD7BA2">
      <w:pPr>
        <w:ind w:left="708"/>
        <w:jc w:val="both"/>
        <w:rPr>
          <w:b/>
          <w:sz w:val="24"/>
        </w:rPr>
      </w:pPr>
      <w:r w:rsidRPr="00226B45">
        <w:rPr>
          <w:b/>
          <w:sz w:val="24"/>
        </w:rPr>
        <w:t>Condensación exterior:</w:t>
      </w:r>
    </w:p>
    <w:p w:rsidR="00CD7BA2" w:rsidRDefault="00CD7BA2" w:rsidP="00CD7BA2">
      <w:pPr>
        <w:ind w:left="708"/>
        <w:jc w:val="both"/>
      </w:pPr>
      <w:r>
        <w:t>Una condensación exterior puede producirse sobre las unidades de vidrio aislante, tanto en el lado interior como en el exterior del edificio. Cuando es en el interior del edifico, se debe principalmente a una humedad elevada en la habitación, asociada a una baja temperatura exterior. Las cocinas, los cuartos de baño y otras zonas muy húmedas están particularmente expuestas a este fenómeno. Cuando la condensación es en el exterior del edificio, se debe principalmente a la pérdida térmica nocturna de la superficie exterior de la unidad e vidrio aislante por radiación infrarroja hacia un cielo claro, asociada a una humedad elevada de la atmosfera exterior, pero no a la lluvia.</w:t>
      </w:r>
    </w:p>
    <w:p w:rsidR="00CD7BA2" w:rsidRDefault="00CD7BA2" w:rsidP="00CD7BA2">
      <w:pPr>
        <w:ind w:left="708"/>
        <w:jc w:val="both"/>
      </w:pPr>
    </w:p>
    <w:p w:rsidR="00CD7BA2" w:rsidRPr="00226B45" w:rsidRDefault="00CD7BA2" w:rsidP="00CD7BA2">
      <w:pPr>
        <w:ind w:left="708"/>
        <w:jc w:val="both"/>
        <w:rPr>
          <w:b/>
          <w:sz w:val="24"/>
        </w:rPr>
      </w:pPr>
      <w:r w:rsidRPr="00226B45">
        <w:rPr>
          <w:b/>
          <w:sz w:val="24"/>
        </w:rPr>
        <w:t>Color natural del vidrio incoloro:</w:t>
      </w:r>
    </w:p>
    <w:p w:rsidR="00CD7BA2" w:rsidRDefault="00CD7BA2" w:rsidP="00CD7BA2">
      <w:pPr>
        <w:ind w:left="708"/>
        <w:jc w:val="both"/>
      </w:pPr>
      <w:r>
        <w:t>El vidrio incoloro tiene un tiene verde muy ligero, particularmente en los bordes. Es más visible cuando el vidrio es más grueso.</w:t>
      </w:r>
    </w:p>
    <w:p w:rsidR="00CD7BA2" w:rsidRDefault="00CD7BA2" w:rsidP="00CD7BA2">
      <w:pPr>
        <w:ind w:left="708"/>
        <w:jc w:val="both"/>
        <w:rPr>
          <w:color w:val="1F497D" w:themeColor="text2"/>
        </w:rPr>
      </w:pPr>
    </w:p>
    <w:p w:rsidR="00CD7BA2" w:rsidRPr="00226B45" w:rsidRDefault="00CD7BA2" w:rsidP="00CD7BA2">
      <w:pPr>
        <w:ind w:left="708"/>
        <w:jc w:val="both"/>
        <w:rPr>
          <w:b/>
          <w:sz w:val="24"/>
        </w:rPr>
      </w:pPr>
      <w:r w:rsidRPr="00226B45">
        <w:rPr>
          <w:b/>
          <w:sz w:val="24"/>
        </w:rPr>
        <w:t xml:space="preserve">Otros: </w:t>
      </w:r>
    </w:p>
    <w:p w:rsidR="00CD7BA2" w:rsidRDefault="00CD7BA2" w:rsidP="00CD7BA2">
      <w:pPr>
        <w:ind w:left="708"/>
        <w:jc w:val="both"/>
      </w:pPr>
      <w:r>
        <w:t xml:space="preserve">Algunos vidrios procesados muestran también una coloración inherente al producto, por ejemplo, el vidrio templado, vidrio </w:t>
      </w:r>
      <w:proofErr w:type="spellStart"/>
      <w:r>
        <w:t>termoendurecido</w:t>
      </w:r>
      <w:proofErr w:type="spellEnd"/>
      <w:r>
        <w:t xml:space="preserve">. </w:t>
      </w:r>
      <w:r w:rsidR="004234E9">
        <w:t>Los</w:t>
      </w:r>
      <w:r>
        <w:t xml:space="preserve"> defectos y tolerancia </w:t>
      </w:r>
      <w:r w:rsidR="004234E9">
        <w:t xml:space="preserve">se recogen </w:t>
      </w:r>
      <w:r>
        <w:t>en la UNE EN 12150 – 1 y UNE EN 1863 – 1</w:t>
      </w:r>
    </w:p>
    <w:p w:rsidR="00CD7BA2" w:rsidRDefault="00CD7BA2" w:rsidP="00CD7BA2">
      <w:pPr>
        <w:ind w:left="708"/>
      </w:pPr>
    </w:p>
    <w:p w:rsidR="00B54FB4" w:rsidRPr="00CD7BA2" w:rsidRDefault="00E32829" w:rsidP="00CD7BA2">
      <w:pPr>
        <w:rPr>
          <w:color w:val="1F497D" w:themeColor="text2"/>
        </w:rPr>
      </w:pPr>
      <w:r w:rsidRPr="00C55CA4">
        <w:rPr>
          <w:color w:val="1F497D" w:themeColor="text2"/>
        </w:rPr>
        <w:tab/>
      </w:r>
    </w:p>
    <w:p w:rsidR="00B54FB4" w:rsidRDefault="00B54FB4" w:rsidP="00E32829">
      <w:pPr>
        <w:pStyle w:val="Asunto"/>
        <w:spacing w:before="0" w:after="0"/>
        <w:rPr>
          <w:rFonts w:asciiTheme="minorHAnsi" w:hAnsiTheme="minorHAnsi" w:cstheme="minorHAnsi"/>
          <w:sz w:val="24"/>
          <w:szCs w:val="24"/>
          <w:lang w:val="es-ES"/>
        </w:rPr>
      </w:pPr>
    </w:p>
    <w:p w:rsidR="00B54FB4" w:rsidRDefault="00B54FB4" w:rsidP="00E32829">
      <w:pPr>
        <w:pStyle w:val="Asunto"/>
        <w:spacing w:before="0" w:after="0"/>
        <w:rPr>
          <w:rFonts w:asciiTheme="minorHAnsi" w:hAnsiTheme="minorHAnsi" w:cstheme="minorHAnsi"/>
          <w:sz w:val="24"/>
          <w:szCs w:val="24"/>
          <w:lang w:val="es-ES"/>
        </w:rPr>
      </w:pPr>
    </w:p>
    <w:p w:rsidR="00B54FB4" w:rsidRDefault="00B54FB4" w:rsidP="00E32829">
      <w:pPr>
        <w:pStyle w:val="Asunto"/>
        <w:spacing w:before="0" w:after="0"/>
        <w:rPr>
          <w:rFonts w:asciiTheme="minorHAnsi" w:hAnsiTheme="minorHAnsi" w:cstheme="minorHAnsi"/>
          <w:sz w:val="24"/>
          <w:szCs w:val="24"/>
          <w:lang w:val="es-ES"/>
        </w:rPr>
      </w:pPr>
    </w:p>
    <w:p w:rsidR="002A76B9" w:rsidRPr="00C06842" w:rsidRDefault="002A76B9" w:rsidP="00A62F74">
      <w:pPr>
        <w:rPr>
          <w:color w:val="1F497D" w:themeColor="text2"/>
        </w:rPr>
      </w:pPr>
    </w:p>
    <w:sectPr w:rsidR="002A76B9" w:rsidRPr="00C06842" w:rsidSect="00306302">
      <w:headerReference w:type="default" r:id="rId9"/>
      <w:footerReference w:type="default" r:id="rId10"/>
      <w:pgSz w:w="11906" w:h="16838"/>
      <w:pgMar w:top="1418" w:right="1701" w:bottom="1418" w:left="1701"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4C8A" w:rsidRDefault="00D64C8A" w:rsidP="00B54FB4">
      <w:r>
        <w:separator/>
      </w:r>
    </w:p>
  </w:endnote>
  <w:endnote w:type="continuationSeparator" w:id="0">
    <w:p w:rsidR="00D64C8A" w:rsidRDefault="00D64C8A" w:rsidP="00B54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vantGarde">
    <w:altName w:val="Century Gothic"/>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7D3" w:rsidRDefault="000227D3" w:rsidP="00C06842">
    <w:pPr>
      <w:tabs>
        <w:tab w:val="left" w:pos="8505"/>
      </w:tabs>
      <w:ind w:right="-1"/>
      <w:jc w:val="center"/>
      <w:rPr>
        <w:rFonts w:ascii="AvantGarde" w:hAnsi="AvantGarde"/>
        <w:color w:val="808080"/>
        <w:sz w:val="12"/>
      </w:rPr>
    </w:pPr>
    <w:r w:rsidRPr="003C788C">
      <w:rPr>
        <w:rFonts w:ascii="AvantGarde" w:hAnsi="AvantGarde"/>
        <w:kern w:val="20"/>
        <w:sz w:val="12"/>
        <w:lang w:val="en-US"/>
      </w:rPr>
      <w:t xml:space="preserve">Saint-Gobain </w:t>
    </w:r>
    <w:proofErr w:type="spellStart"/>
    <w:r w:rsidRPr="003C788C">
      <w:rPr>
        <w:rFonts w:ascii="AvantGarde" w:hAnsi="AvantGarde"/>
        <w:kern w:val="20"/>
        <w:sz w:val="12"/>
        <w:lang w:val="en-US"/>
      </w:rPr>
      <w:t>Cristalería</w:t>
    </w:r>
    <w:proofErr w:type="gramStart"/>
    <w:r w:rsidRPr="003C788C">
      <w:rPr>
        <w:rFonts w:ascii="AvantGarde" w:hAnsi="AvantGarde"/>
        <w:kern w:val="20"/>
        <w:sz w:val="12"/>
        <w:lang w:val="en-US"/>
      </w:rPr>
      <w:t>,S</w:t>
    </w:r>
    <w:proofErr w:type="spellEnd"/>
    <w:proofErr w:type="gramEnd"/>
    <w:r w:rsidRPr="003C788C">
      <w:rPr>
        <w:rFonts w:ascii="AvantGarde" w:hAnsi="AvantGarde"/>
        <w:kern w:val="20"/>
        <w:sz w:val="12"/>
        <w:lang w:val="en-US"/>
      </w:rPr>
      <w:t xml:space="preserve"> L..</w:t>
    </w:r>
    <w:r w:rsidRPr="003C788C">
      <w:rPr>
        <w:rFonts w:ascii="AvantGarde" w:hAnsi="AvantGarde"/>
        <w:kern w:val="20"/>
        <w:sz w:val="12"/>
        <w:lang w:val="en-US"/>
      </w:rPr>
      <w:br/>
    </w:r>
    <w:r>
      <w:rPr>
        <w:rFonts w:ascii="AvantGarde" w:hAnsi="AvantGarde"/>
        <w:kern w:val="20"/>
        <w:sz w:val="12"/>
      </w:rPr>
      <w:t>C/ Príncipe de Vergara 132 – 28002 – Madrid (España). Tel.: +34 (91) 3 97 26 98. Fax.: +34 (91) 3 97 21 05.</w:t>
    </w:r>
    <w:r>
      <w:rPr>
        <w:rFonts w:ascii="AvantGarde" w:hAnsi="AvantGarde"/>
        <w:kern w:val="20"/>
        <w:sz w:val="12"/>
      </w:rPr>
      <w:br/>
    </w:r>
    <w:r>
      <w:rPr>
        <w:rFonts w:ascii="AvantGarde" w:hAnsi="AvantGarde"/>
        <w:sz w:val="12"/>
      </w:rPr>
      <w:t xml:space="preserve">N.I.F. B-33019241 - Inscrita en el Registro Mercantil de </w:t>
    </w:r>
    <w:proofErr w:type="spellStart"/>
    <w:r>
      <w:rPr>
        <w:rFonts w:ascii="AvantGarde" w:hAnsi="AvantGarde"/>
        <w:sz w:val="12"/>
      </w:rPr>
      <w:t>Madrid,Tomo</w:t>
    </w:r>
    <w:proofErr w:type="spellEnd"/>
    <w:r>
      <w:rPr>
        <w:rFonts w:ascii="AvantGarde" w:hAnsi="AvantGarde"/>
        <w:sz w:val="12"/>
      </w:rPr>
      <w:t xml:space="preserve"> 3.973, General 3.206 de la Sección 3ª del Libro de Sociedades, Folio 1, Hoja 30.695, Inscripción  1ª.</w:t>
    </w:r>
  </w:p>
  <w:p w:rsidR="000227D3" w:rsidRDefault="000227D3">
    <w:pPr>
      <w:pStyle w:val="Piedepgina"/>
    </w:pPr>
  </w:p>
  <w:p w:rsidR="00B54FB4" w:rsidRDefault="00B54FB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4C8A" w:rsidRDefault="00D64C8A" w:rsidP="00B54FB4">
      <w:r>
        <w:separator/>
      </w:r>
    </w:p>
  </w:footnote>
  <w:footnote w:type="continuationSeparator" w:id="0">
    <w:p w:rsidR="00D64C8A" w:rsidRDefault="00D64C8A" w:rsidP="00B54F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FB4" w:rsidRDefault="00306302" w:rsidP="00306302">
    <w:pPr>
      <w:pStyle w:val="Encabezado"/>
      <w:jc w:val="center"/>
    </w:pPr>
    <w:r w:rsidRPr="00E9223D">
      <w:rPr>
        <w:noProof/>
        <w:lang w:eastAsia="es-ES"/>
      </w:rPr>
      <w:drawing>
        <wp:inline distT="0" distB="0" distL="0" distR="0" wp14:anchorId="21106F33" wp14:editId="0E86AE3B">
          <wp:extent cx="860856" cy="855024"/>
          <wp:effectExtent l="0" t="0" r="0" b="254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2427" t="1067" r="1357" b="2346"/>
                  <a:stretch/>
                </pic:blipFill>
                <pic:spPr bwMode="auto">
                  <a:xfrm>
                    <a:off x="0" y="0"/>
                    <a:ext cx="864791" cy="858933"/>
                  </a:xfrm>
                  <a:prstGeom prst="ellipse">
                    <a:avLst/>
                  </a:prstGeom>
                  <a:noFill/>
                  <a:ln>
                    <a:noFill/>
                  </a:ln>
                  <a:extLst/>
                </pic:spPr>
              </pic:pic>
            </a:graphicData>
          </a:graphic>
        </wp:inline>
      </w:drawing>
    </w:r>
  </w:p>
  <w:p w:rsidR="00B54FB4" w:rsidRDefault="00B54FB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C3661"/>
    <w:multiLevelType w:val="hybridMultilevel"/>
    <w:tmpl w:val="6F32637C"/>
    <w:lvl w:ilvl="0" w:tplc="21A8B312">
      <w:numFmt w:val="bullet"/>
      <w:lvlText w:val="-"/>
      <w:lvlJc w:val="left"/>
      <w:pPr>
        <w:ind w:left="1770" w:hanging="360"/>
      </w:pPr>
      <w:rPr>
        <w:rFonts w:ascii="Calibri" w:eastAsiaTheme="minorHAnsi" w:hAnsi="Calibri" w:cs="Calibri" w:hint="default"/>
      </w:rPr>
    </w:lvl>
    <w:lvl w:ilvl="1" w:tplc="0C0A0003" w:tentative="1">
      <w:start w:val="1"/>
      <w:numFmt w:val="bullet"/>
      <w:lvlText w:val="o"/>
      <w:lvlJc w:val="left"/>
      <w:pPr>
        <w:ind w:left="2490" w:hanging="360"/>
      </w:pPr>
      <w:rPr>
        <w:rFonts w:ascii="Courier New" w:hAnsi="Courier New" w:cs="Courier New" w:hint="default"/>
      </w:rPr>
    </w:lvl>
    <w:lvl w:ilvl="2" w:tplc="0C0A0005" w:tentative="1">
      <w:start w:val="1"/>
      <w:numFmt w:val="bullet"/>
      <w:lvlText w:val=""/>
      <w:lvlJc w:val="left"/>
      <w:pPr>
        <w:ind w:left="3210" w:hanging="360"/>
      </w:pPr>
      <w:rPr>
        <w:rFonts w:ascii="Wingdings" w:hAnsi="Wingdings" w:hint="default"/>
      </w:rPr>
    </w:lvl>
    <w:lvl w:ilvl="3" w:tplc="0C0A0001" w:tentative="1">
      <w:start w:val="1"/>
      <w:numFmt w:val="bullet"/>
      <w:lvlText w:val=""/>
      <w:lvlJc w:val="left"/>
      <w:pPr>
        <w:ind w:left="3930" w:hanging="360"/>
      </w:pPr>
      <w:rPr>
        <w:rFonts w:ascii="Symbol" w:hAnsi="Symbol" w:hint="default"/>
      </w:rPr>
    </w:lvl>
    <w:lvl w:ilvl="4" w:tplc="0C0A0003" w:tentative="1">
      <w:start w:val="1"/>
      <w:numFmt w:val="bullet"/>
      <w:lvlText w:val="o"/>
      <w:lvlJc w:val="left"/>
      <w:pPr>
        <w:ind w:left="4650" w:hanging="360"/>
      </w:pPr>
      <w:rPr>
        <w:rFonts w:ascii="Courier New" w:hAnsi="Courier New" w:cs="Courier New" w:hint="default"/>
      </w:rPr>
    </w:lvl>
    <w:lvl w:ilvl="5" w:tplc="0C0A0005" w:tentative="1">
      <w:start w:val="1"/>
      <w:numFmt w:val="bullet"/>
      <w:lvlText w:val=""/>
      <w:lvlJc w:val="left"/>
      <w:pPr>
        <w:ind w:left="5370" w:hanging="360"/>
      </w:pPr>
      <w:rPr>
        <w:rFonts w:ascii="Wingdings" w:hAnsi="Wingdings" w:hint="default"/>
      </w:rPr>
    </w:lvl>
    <w:lvl w:ilvl="6" w:tplc="0C0A0001" w:tentative="1">
      <w:start w:val="1"/>
      <w:numFmt w:val="bullet"/>
      <w:lvlText w:val=""/>
      <w:lvlJc w:val="left"/>
      <w:pPr>
        <w:ind w:left="6090" w:hanging="360"/>
      </w:pPr>
      <w:rPr>
        <w:rFonts w:ascii="Symbol" w:hAnsi="Symbol" w:hint="default"/>
      </w:rPr>
    </w:lvl>
    <w:lvl w:ilvl="7" w:tplc="0C0A0003" w:tentative="1">
      <w:start w:val="1"/>
      <w:numFmt w:val="bullet"/>
      <w:lvlText w:val="o"/>
      <w:lvlJc w:val="left"/>
      <w:pPr>
        <w:ind w:left="6810" w:hanging="360"/>
      </w:pPr>
      <w:rPr>
        <w:rFonts w:ascii="Courier New" w:hAnsi="Courier New" w:cs="Courier New" w:hint="default"/>
      </w:rPr>
    </w:lvl>
    <w:lvl w:ilvl="8" w:tplc="0C0A0005" w:tentative="1">
      <w:start w:val="1"/>
      <w:numFmt w:val="bullet"/>
      <w:lvlText w:val=""/>
      <w:lvlJc w:val="left"/>
      <w:pPr>
        <w:ind w:left="7530" w:hanging="360"/>
      </w:pPr>
      <w:rPr>
        <w:rFonts w:ascii="Wingdings" w:hAnsi="Wingdings" w:hint="default"/>
      </w:rPr>
    </w:lvl>
  </w:abstractNum>
  <w:abstractNum w:abstractNumId="1">
    <w:nsid w:val="2F3543FD"/>
    <w:multiLevelType w:val="hybridMultilevel"/>
    <w:tmpl w:val="CC8473CA"/>
    <w:lvl w:ilvl="0" w:tplc="9B9C3A08">
      <w:numFmt w:val="bullet"/>
      <w:lvlText w:val="-"/>
      <w:lvlJc w:val="left"/>
      <w:pPr>
        <w:ind w:left="1773" w:hanging="360"/>
      </w:pPr>
      <w:rPr>
        <w:rFonts w:ascii="Calibri" w:eastAsiaTheme="minorHAnsi" w:hAnsi="Calibri" w:cs="Calibri" w:hint="default"/>
      </w:rPr>
    </w:lvl>
    <w:lvl w:ilvl="1" w:tplc="0C0A0003">
      <w:start w:val="1"/>
      <w:numFmt w:val="bullet"/>
      <w:lvlText w:val="o"/>
      <w:lvlJc w:val="left"/>
      <w:pPr>
        <w:ind w:left="2493" w:hanging="360"/>
      </w:pPr>
      <w:rPr>
        <w:rFonts w:ascii="Courier New" w:hAnsi="Courier New" w:cs="Courier New" w:hint="default"/>
      </w:rPr>
    </w:lvl>
    <w:lvl w:ilvl="2" w:tplc="0C0A0005" w:tentative="1">
      <w:start w:val="1"/>
      <w:numFmt w:val="bullet"/>
      <w:lvlText w:val=""/>
      <w:lvlJc w:val="left"/>
      <w:pPr>
        <w:ind w:left="3213" w:hanging="360"/>
      </w:pPr>
      <w:rPr>
        <w:rFonts w:ascii="Wingdings" w:hAnsi="Wingdings" w:hint="default"/>
      </w:rPr>
    </w:lvl>
    <w:lvl w:ilvl="3" w:tplc="0C0A0001" w:tentative="1">
      <w:start w:val="1"/>
      <w:numFmt w:val="bullet"/>
      <w:lvlText w:val=""/>
      <w:lvlJc w:val="left"/>
      <w:pPr>
        <w:ind w:left="3933" w:hanging="360"/>
      </w:pPr>
      <w:rPr>
        <w:rFonts w:ascii="Symbol" w:hAnsi="Symbol" w:hint="default"/>
      </w:rPr>
    </w:lvl>
    <w:lvl w:ilvl="4" w:tplc="0C0A0003" w:tentative="1">
      <w:start w:val="1"/>
      <w:numFmt w:val="bullet"/>
      <w:lvlText w:val="o"/>
      <w:lvlJc w:val="left"/>
      <w:pPr>
        <w:ind w:left="4653" w:hanging="360"/>
      </w:pPr>
      <w:rPr>
        <w:rFonts w:ascii="Courier New" w:hAnsi="Courier New" w:cs="Courier New" w:hint="default"/>
      </w:rPr>
    </w:lvl>
    <w:lvl w:ilvl="5" w:tplc="0C0A0005" w:tentative="1">
      <w:start w:val="1"/>
      <w:numFmt w:val="bullet"/>
      <w:lvlText w:val=""/>
      <w:lvlJc w:val="left"/>
      <w:pPr>
        <w:ind w:left="5373" w:hanging="360"/>
      </w:pPr>
      <w:rPr>
        <w:rFonts w:ascii="Wingdings" w:hAnsi="Wingdings" w:hint="default"/>
      </w:rPr>
    </w:lvl>
    <w:lvl w:ilvl="6" w:tplc="0C0A0001" w:tentative="1">
      <w:start w:val="1"/>
      <w:numFmt w:val="bullet"/>
      <w:lvlText w:val=""/>
      <w:lvlJc w:val="left"/>
      <w:pPr>
        <w:ind w:left="6093" w:hanging="360"/>
      </w:pPr>
      <w:rPr>
        <w:rFonts w:ascii="Symbol" w:hAnsi="Symbol" w:hint="default"/>
      </w:rPr>
    </w:lvl>
    <w:lvl w:ilvl="7" w:tplc="0C0A0003" w:tentative="1">
      <w:start w:val="1"/>
      <w:numFmt w:val="bullet"/>
      <w:lvlText w:val="o"/>
      <w:lvlJc w:val="left"/>
      <w:pPr>
        <w:ind w:left="6813" w:hanging="360"/>
      </w:pPr>
      <w:rPr>
        <w:rFonts w:ascii="Courier New" w:hAnsi="Courier New" w:cs="Courier New" w:hint="default"/>
      </w:rPr>
    </w:lvl>
    <w:lvl w:ilvl="8" w:tplc="0C0A0005" w:tentative="1">
      <w:start w:val="1"/>
      <w:numFmt w:val="bullet"/>
      <w:lvlText w:val=""/>
      <w:lvlJc w:val="left"/>
      <w:pPr>
        <w:ind w:left="7533" w:hanging="360"/>
      </w:pPr>
      <w:rPr>
        <w:rFonts w:ascii="Wingdings" w:hAnsi="Wingdings" w:hint="default"/>
      </w:rPr>
    </w:lvl>
  </w:abstractNum>
  <w:abstractNum w:abstractNumId="2">
    <w:nsid w:val="30E73DEE"/>
    <w:multiLevelType w:val="hybridMultilevel"/>
    <w:tmpl w:val="FC3E7CF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5">
      <w:start w:val="1"/>
      <w:numFmt w:val="bullet"/>
      <w:lvlText w:val=""/>
      <w:lvlJc w:val="left"/>
      <w:pPr>
        <w:ind w:left="2880" w:hanging="360"/>
      </w:pPr>
      <w:rPr>
        <w:rFonts w:ascii="Wingdings" w:hAnsi="Wingdings"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F74"/>
    <w:rsid w:val="00002B49"/>
    <w:rsid w:val="000227D3"/>
    <w:rsid w:val="000E1CB9"/>
    <w:rsid w:val="000F54D2"/>
    <w:rsid w:val="00133D0D"/>
    <w:rsid w:val="00174301"/>
    <w:rsid w:val="002A76B9"/>
    <w:rsid w:val="002E20DC"/>
    <w:rsid w:val="002F4798"/>
    <w:rsid w:val="00306302"/>
    <w:rsid w:val="003828D3"/>
    <w:rsid w:val="003C30EE"/>
    <w:rsid w:val="003E021F"/>
    <w:rsid w:val="004234E9"/>
    <w:rsid w:val="004972D8"/>
    <w:rsid w:val="004E57BD"/>
    <w:rsid w:val="004E7548"/>
    <w:rsid w:val="00555CEB"/>
    <w:rsid w:val="005C5D3F"/>
    <w:rsid w:val="006123EC"/>
    <w:rsid w:val="00612A01"/>
    <w:rsid w:val="006750B0"/>
    <w:rsid w:val="006B5DD8"/>
    <w:rsid w:val="00700638"/>
    <w:rsid w:val="00700F90"/>
    <w:rsid w:val="007C1C2F"/>
    <w:rsid w:val="007C2FA1"/>
    <w:rsid w:val="00801985"/>
    <w:rsid w:val="008E4FDC"/>
    <w:rsid w:val="009C158E"/>
    <w:rsid w:val="009F3650"/>
    <w:rsid w:val="00A305E9"/>
    <w:rsid w:val="00A427F8"/>
    <w:rsid w:val="00A53D16"/>
    <w:rsid w:val="00A62F74"/>
    <w:rsid w:val="00A704C9"/>
    <w:rsid w:val="00A77760"/>
    <w:rsid w:val="00AE4931"/>
    <w:rsid w:val="00AF237A"/>
    <w:rsid w:val="00B06DD3"/>
    <w:rsid w:val="00B241AE"/>
    <w:rsid w:val="00B54FB4"/>
    <w:rsid w:val="00C06842"/>
    <w:rsid w:val="00C55CA4"/>
    <w:rsid w:val="00CD7BA2"/>
    <w:rsid w:val="00D14D4F"/>
    <w:rsid w:val="00D64C8A"/>
    <w:rsid w:val="00D8226F"/>
    <w:rsid w:val="00D83C07"/>
    <w:rsid w:val="00E14F8F"/>
    <w:rsid w:val="00E32829"/>
    <w:rsid w:val="00E407AF"/>
    <w:rsid w:val="00E63143"/>
    <w:rsid w:val="00E906AA"/>
    <w:rsid w:val="00ED4085"/>
    <w:rsid w:val="00EF5483"/>
    <w:rsid w:val="00F137E5"/>
    <w:rsid w:val="00F5141C"/>
    <w:rsid w:val="00FA068B"/>
    <w:rsid w:val="00FC3B0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F74"/>
    <w:pPr>
      <w:spacing w:after="0" w:line="240"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62F74"/>
    <w:pPr>
      <w:ind w:left="720"/>
    </w:pPr>
  </w:style>
  <w:style w:type="table" w:styleId="Tablaconcuadrcula">
    <w:name w:val="Table Grid"/>
    <w:basedOn w:val="Tablanormal"/>
    <w:uiPriority w:val="59"/>
    <w:rsid w:val="00A62F7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3E021F"/>
    <w:rPr>
      <w:rFonts w:ascii="Tahoma" w:hAnsi="Tahoma" w:cs="Tahoma"/>
      <w:sz w:val="16"/>
      <w:szCs w:val="16"/>
    </w:rPr>
  </w:style>
  <w:style w:type="character" w:customStyle="1" w:styleId="TextodegloboCar">
    <w:name w:val="Texto de globo Car"/>
    <w:basedOn w:val="Fuentedeprrafopredeter"/>
    <w:link w:val="Textodeglobo"/>
    <w:uiPriority w:val="99"/>
    <w:semiHidden/>
    <w:rsid w:val="003E021F"/>
    <w:rPr>
      <w:rFonts w:ascii="Tahoma" w:hAnsi="Tahoma" w:cs="Tahoma"/>
      <w:sz w:val="16"/>
      <w:szCs w:val="16"/>
    </w:rPr>
  </w:style>
  <w:style w:type="paragraph" w:customStyle="1" w:styleId="Asunto">
    <w:name w:val="Asunto"/>
    <w:basedOn w:val="Normal"/>
    <w:rsid w:val="00E32829"/>
    <w:pPr>
      <w:overflowPunct w:val="0"/>
      <w:autoSpaceDE w:val="0"/>
      <w:autoSpaceDN w:val="0"/>
      <w:adjustRightInd w:val="0"/>
      <w:spacing w:before="620" w:after="240"/>
      <w:textAlignment w:val="baseline"/>
    </w:pPr>
    <w:rPr>
      <w:rFonts w:ascii="Century Gothic" w:eastAsia="Times New Roman" w:hAnsi="Century Gothic" w:cs="Times New Roman"/>
      <w:szCs w:val="20"/>
      <w:lang w:val="es-ES_tradnl" w:eastAsia="es-ES"/>
    </w:rPr>
  </w:style>
  <w:style w:type="paragraph" w:styleId="Encabezado">
    <w:name w:val="header"/>
    <w:basedOn w:val="Normal"/>
    <w:link w:val="EncabezadoCar"/>
    <w:unhideWhenUsed/>
    <w:rsid w:val="00B54FB4"/>
    <w:pPr>
      <w:tabs>
        <w:tab w:val="center" w:pos="4252"/>
        <w:tab w:val="right" w:pos="8504"/>
      </w:tabs>
    </w:pPr>
  </w:style>
  <w:style w:type="character" w:customStyle="1" w:styleId="EncabezadoCar">
    <w:name w:val="Encabezado Car"/>
    <w:basedOn w:val="Fuentedeprrafopredeter"/>
    <w:link w:val="Encabezado"/>
    <w:uiPriority w:val="99"/>
    <w:rsid w:val="00B54FB4"/>
  </w:style>
  <w:style w:type="paragraph" w:styleId="Piedepgina">
    <w:name w:val="footer"/>
    <w:basedOn w:val="Normal"/>
    <w:link w:val="PiedepginaCar"/>
    <w:uiPriority w:val="99"/>
    <w:unhideWhenUsed/>
    <w:rsid w:val="00B54FB4"/>
    <w:pPr>
      <w:tabs>
        <w:tab w:val="center" w:pos="4252"/>
        <w:tab w:val="right" w:pos="8504"/>
      </w:tabs>
    </w:pPr>
  </w:style>
  <w:style w:type="character" w:customStyle="1" w:styleId="PiedepginaCar">
    <w:name w:val="Pie de página Car"/>
    <w:basedOn w:val="Fuentedeprrafopredeter"/>
    <w:link w:val="Piedepgina"/>
    <w:uiPriority w:val="99"/>
    <w:rsid w:val="00B54FB4"/>
  </w:style>
  <w:style w:type="paragraph" w:customStyle="1" w:styleId="Antefirma">
    <w:name w:val="Antefirma"/>
    <w:basedOn w:val="Normal"/>
    <w:rsid w:val="00B54FB4"/>
    <w:pPr>
      <w:overflowPunct w:val="0"/>
      <w:autoSpaceDE w:val="0"/>
      <w:autoSpaceDN w:val="0"/>
      <w:adjustRightInd w:val="0"/>
      <w:spacing w:before="1200" w:after="240"/>
      <w:textAlignment w:val="baseline"/>
    </w:pPr>
    <w:rPr>
      <w:rFonts w:ascii="Century Gothic" w:eastAsia="Times New Roman" w:hAnsi="Century Gothic" w:cs="Times New Roman"/>
      <w:szCs w:val="20"/>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F74"/>
    <w:pPr>
      <w:spacing w:after="0" w:line="240"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62F74"/>
    <w:pPr>
      <w:ind w:left="720"/>
    </w:pPr>
  </w:style>
  <w:style w:type="table" w:styleId="Tablaconcuadrcula">
    <w:name w:val="Table Grid"/>
    <w:basedOn w:val="Tablanormal"/>
    <w:uiPriority w:val="59"/>
    <w:rsid w:val="00A62F7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3E021F"/>
    <w:rPr>
      <w:rFonts w:ascii="Tahoma" w:hAnsi="Tahoma" w:cs="Tahoma"/>
      <w:sz w:val="16"/>
      <w:szCs w:val="16"/>
    </w:rPr>
  </w:style>
  <w:style w:type="character" w:customStyle="1" w:styleId="TextodegloboCar">
    <w:name w:val="Texto de globo Car"/>
    <w:basedOn w:val="Fuentedeprrafopredeter"/>
    <w:link w:val="Textodeglobo"/>
    <w:uiPriority w:val="99"/>
    <w:semiHidden/>
    <w:rsid w:val="003E021F"/>
    <w:rPr>
      <w:rFonts w:ascii="Tahoma" w:hAnsi="Tahoma" w:cs="Tahoma"/>
      <w:sz w:val="16"/>
      <w:szCs w:val="16"/>
    </w:rPr>
  </w:style>
  <w:style w:type="paragraph" w:customStyle="1" w:styleId="Asunto">
    <w:name w:val="Asunto"/>
    <w:basedOn w:val="Normal"/>
    <w:rsid w:val="00E32829"/>
    <w:pPr>
      <w:overflowPunct w:val="0"/>
      <w:autoSpaceDE w:val="0"/>
      <w:autoSpaceDN w:val="0"/>
      <w:adjustRightInd w:val="0"/>
      <w:spacing w:before="620" w:after="240"/>
      <w:textAlignment w:val="baseline"/>
    </w:pPr>
    <w:rPr>
      <w:rFonts w:ascii="Century Gothic" w:eastAsia="Times New Roman" w:hAnsi="Century Gothic" w:cs="Times New Roman"/>
      <w:szCs w:val="20"/>
      <w:lang w:val="es-ES_tradnl" w:eastAsia="es-ES"/>
    </w:rPr>
  </w:style>
  <w:style w:type="paragraph" w:styleId="Encabezado">
    <w:name w:val="header"/>
    <w:basedOn w:val="Normal"/>
    <w:link w:val="EncabezadoCar"/>
    <w:unhideWhenUsed/>
    <w:rsid w:val="00B54FB4"/>
    <w:pPr>
      <w:tabs>
        <w:tab w:val="center" w:pos="4252"/>
        <w:tab w:val="right" w:pos="8504"/>
      </w:tabs>
    </w:pPr>
  </w:style>
  <w:style w:type="character" w:customStyle="1" w:styleId="EncabezadoCar">
    <w:name w:val="Encabezado Car"/>
    <w:basedOn w:val="Fuentedeprrafopredeter"/>
    <w:link w:val="Encabezado"/>
    <w:uiPriority w:val="99"/>
    <w:rsid w:val="00B54FB4"/>
  </w:style>
  <w:style w:type="paragraph" w:styleId="Piedepgina">
    <w:name w:val="footer"/>
    <w:basedOn w:val="Normal"/>
    <w:link w:val="PiedepginaCar"/>
    <w:uiPriority w:val="99"/>
    <w:unhideWhenUsed/>
    <w:rsid w:val="00B54FB4"/>
    <w:pPr>
      <w:tabs>
        <w:tab w:val="center" w:pos="4252"/>
        <w:tab w:val="right" w:pos="8504"/>
      </w:tabs>
    </w:pPr>
  </w:style>
  <w:style w:type="character" w:customStyle="1" w:styleId="PiedepginaCar">
    <w:name w:val="Pie de página Car"/>
    <w:basedOn w:val="Fuentedeprrafopredeter"/>
    <w:link w:val="Piedepgina"/>
    <w:uiPriority w:val="99"/>
    <w:rsid w:val="00B54FB4"/>
  </w:style>
  <w:style w:type="paragraph" w:customStyle="1" w:styleId="Antefirma">
    <w:name w:val="Antefirma"/>
    <w:basedOn w:val="Normal"/>
    <w:rsid w:val="00B54FB4"/>
    <w:pPr>
      <w:overflowPunct w:val="0"/>
      <w:autoSpaceDE w:val="0"/>
      <w:autoSpaceDN w:val="0"/>
      <w:adjustRightInd w:val="0"/>
      <w:spacing w:before="1200" w:after="240"/>
      <w:textAlignment w:val="baseline"/>
    </w:pPr>
    <w:rPr>
      <w:rFonts w:ascii="Century Gothic" w:eastAsia="Times New Roman" w:hAnsi="Century Gothic" w:cs="Times New Roman"/>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437583">
      <w:bodyDiv w:val="1"/>
      <w:marLeft w:val="0"/>
      <w:marRight w:val="0"/>
      <w:marTop w:val="0"/>
      <w:marBottom w:val="0"/>
      <w:divBdr>
        <w:top w:val="none" w:sz="0" w:space="0" w:color="auto"/>
        <w:left w:val="none" w:sz="0" w:space="0" w:color="auto"/>
        <w:bottom w:val="none" w:sz="0" w:space="0" w:color="auto"/>
        <w:right w:val="none" w:sz="0" w:space="0" w:color="auto"/>
      </w:divBdr>
    </w:div>
    <w:div w:id="2122988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611</Words>
  <Characters>3365</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
    </vt:vector>
  </TitlesOfParts>
  <Company>SAINT-GOBAIN 1.8</Company>
  <LinksUpToDate>false</LinksUpToDate>
  <CharactersWithSpaces>3969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 la Rubia Jimenez, Fernando</dc:creator>
  <cp:lastModifiedBy>De la Rubia Jimenez, Fernando</cp:lastModifiedBy>
  <cp:revision>12</cp:revision>
  <dcterms:created xsi:type="dcterms:W3CDTF">2016-03-01T16:37:00Z</dcterms:created>
  <dcterms:modified xsi:type="dcterms:W3CDTF">2017-07-10T11:20:00Z</dcterms:modified>
</cp:coreProperties>
</file>