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087"/>
      </w:tblGrid>
      <w:tr w:rsidR="00700F90" w:rsidTr="00C44AEF">
        <w:trPr>
          <w:trHeight w:hRule="exact" w:val="170"/>
        </w:trPr>
        <w:tc>
          <w:tcPr>
            <w:tcW w:w="2694" w:type="dxa"/>
            <w:tcBorders>
              <w:top w:val="single" w:sz="6" w:space="0" w:color="auto"/>
            </w:tcBorders>
          </w:tcPr>
          <w:p w:rsidR="00700F90" w:rsidRDefault="00700F90" w:rsidP="00C44AEF">
            <w:pPr>
              <w:rPr>
                <w:rFonts w:ascii="Arial Black" w:hAnsi="Arial Black"/>
                <w:spacing w:val="27"/>
                <w:sz w:val="14"/>
              </w:rPr>
            </w:pPr>
          </w:p>
        </w:tc>
        <w:tc>
          <w:tcPr>
            <w:tcW w:w="6087" w:type="dxa"/>
            <w:tcBorders>
              <w:top w:val="single" w:sz="6" w:space="0" w:color="auto"/>
            </w:tcBorders>
          </w:tcPr>
          <w:p w:rsidR="00700F90" w:rsidRDefault="00700F90" w:rsidP="00C44AEF">
            <w:pPr>
              <w:ind w:left="45"/>
              <w:rPr>
                <w:rFonts w:ascii="Arial Black" w:hAnsi="Arial Black"/>
                <w:spacing w:val="27"/>
                <w:sz w:val="1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42545</wp:posOffset>
                  </wp:positionV>
                  <wp:extent cx="387985" cy="55562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0F90" w:rsidTr="00C44AEF">
        <w:trPr>
          <w:trHeight w:hRule="exact" w:val="843"/>
        </w:trPr>
        <w:tc>
          <w:tcPr>
            <w:tcW w:w="2694" w:type="dxa"/>
            <w:vAlign w:val="center"/>
          </w:tcPr>
          <w:p w:rsidR="00700F90" w:rsidRDefault="00700F90" w:rsidP="00C44AEF">
            <w:pPr>
              <w:spacing w:before="60"/>
              <w:rPr>
                <w:rFonts w:ascii="Arial" w:hAnsi="Arial"/>
                <w:spacing w:val="27"/>
                <w:sz w:val="14"/>
              </w:rPr>
            </w:pPr>
            <w:r>
              <w:rPr>
                <w:rFonts w:ascii="Arial" w:hAnsi="Arial"/>
                <w:spacing w:val="27"/>
                <w:sz w:val="14"/>
              </w:rPr>
              <w:t>DEPARTAMENTO:</w:t>
            </w:r>
          </w:p>
        </w:tc>
        <w:tc>
          <w:tcPr>
            <w:tcW w:w="6087" w:type="dxa"/>
          </w:tcPr>
          <w:p w:rsidR="00700F90" w:rsidRDefault="00700F90" w:rsidP="00C44AEF">
            <w:pPr>
              <w:pStyle w:val="Encabezad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Centro de Información Técnica</w:t>
            </w:r>
          </w:p>
          <w:p w:rsidR="00700F90" w:rsidRDefault="00700F90" w:rsidP="00C44A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de Aplicaciones del Vidrio</w:t>
            </w:r>
          </w:p>
          <w:p w:rsidR="00700F90" w:rsidRDefault="00700F90" w:rsidP="00C44AEF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  <w:b/>
                <w:bCs/>
              </w:rPr>
              <w:t>Asesoramiento Técnico</w:t>
            </w:r>
          </w:p>
          <w:p w:rsidR="00700F90" w:rsidRDefault="00700F90" w:rsidP="00C44AEF">
            <w:pPr>
              <w:spacing w:after="360"/>
            </w:pPr>
          </w:p>
        </w:tc>
      </w:tr>
      <w:tr w:rsidR="00700F90" w:rsidTr="00C44AEF">
        <w:trPr>
          <w:trHeight w:hRule="exact" w:val="407"/>
        </w:trPr>
        <w:tc>
          <w:tcPr>
            <w:tcW w:w="2694" w:type="dxa"/>
          </w:tcPr>
          <w:p w:rsidR="00700F90" w:rsidRDefault="00700F90" w:rsidP="00C44AEF">
            <w:pPr>
              <w:rPr>
                <w:spacing w:val="27"/>
                <w:sz w:val="14"/>
                <w:lang w:val="en-GB"/>
              </w:rPr>
            </w:pPr>
            <w:r>
              <w:rPr>
                <w:rFonts w:ascii="Arial Black" w:hAnsi="Arial Black"/>
                <w:spacing w:val="27"/>
                <w:sz w:val="14"/>
                <w:lang w:val="en-GB"/>
              </w:rPr>
              <w:t>PARA / TO:</w:t>
            </w:r>
          </w:p>
        </w:tc>
        <w:tc>
          <w:tcPr>
            <w:tcW w:w="6087" w:type="dxa"/>
          </w:tcPr>
          <w:p w:rsidR="00700F90" w:rsidRDefault="00700F90" w:rsidP="00C44AEF">
            <w:pPr>
              <w:ind w:left="45"/>
              <w:rPr>
                <w:lang w:val="en-GB"/>
              </w:rPr>
            </w:pPr>
          </w:p>
        </w:tc>
      </w:tr>
      <w:tr w:rsidR="00700F90" w:rsidTr="00C44AEF">
        <w:trPr>
          <w:trHeight w:hRule="exact" w:val="286"/>
        </w:trPr>
        <w:tc>
          <w:tcPr>
            <w:tcW w:w="2694" w:type="dxa"/>
            <w:tcBorders>
              <w:bottom w:val="single" w:sz="6" w:space="0" w:color="auto"/>
            </w:tcBorders>
          </w:tcPr>
          <w:p w:rsidR="00700F90" w:rsidRDefault="00700F90" w:rsidP="00C44AEF">
            <w:pPr>
              <w:spacing w:before="60"/>
              <w:rPr>
                <w:rFonts w:ascii="Arial" w:hAnsi="Arial"/>
                <w:spacing w:val="27"/>
                <w:sz w:val="14"/>
              </w:rPr>
            </w:pPr>
            <w:r>
              <w:rPr>
                <w:rFonts w:ascii="Arial" w:hAnsi="Arial"/>
                <w:spacing w:val="27"/>
                <w:sz w:val="14"/>
              </w:rPr>
              <w:t>FECHA / DATE:</w:t>
            </w:r>
          </w:p>
        </w:tc>
        <w:tc>
          <w:tcPr>
            <w:tcW w:w="6087" w:type="dxa"/>
            <w:tcBorders>
              <w:bottom w:val="single" w:sz="6" w:space="0" w:color="auto"/>
            </w:tcBorders>
          </w:tcPr>
          <w:p w:rsidR="00700F90" w:rsidRDefault="004972D8" w:rsidP="00745ADD">
            <w:pPr>
              <w:ind w:left="45"/>
            </w:pPr>
            <w:r>
              <w:t xml:space="preserve">Madrid, a </w:t>
            </w:r>
            <w:r w:rsidR="00745ADD">
              <w:t>02 de marzo de 2016</w:t>
            </w:r>
          </w:p>
        </w:tc>
      </w:tr>
    </w:tbl>
    <w:p w:rsidR="00700F90" w:rsidRDefault="00700F90" w:rsidP="00700F90">
      <w:pPr>
        <w:pStyle w:val="Asunto"/>
        <w:spacing w:before="0" w:after="0"/>
        <w:rPr>
          <w:b/>
          <w:u w:val="single"/>
        </w:rPr>
      </w:pPr>
    </w:p>
    <w:p w:rsidR="00700F90" w:rsidRDefault="00700F90" w:rsidP="00700F90">
      <w:pPr>
        <w:pStyle w:val="Asu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sz w:val="24"/>
          <w:szCs w:val="24"/>
        </w:rPr>
      </w:pPr>
      <w:r>
        <w:rPr>
          <w:b/>
          <w:szCs w:val="24"/>
        </w:rPr>
        <w:t>Nota Técnica</w:t>
      </w:r>
      <w:r w:rsidRPr="00624842">
        <w:rPr>
          <w:b/>
          <w:szCs w:val="24"/>
        </w:rPr>
        <w:t xml:space="preserve">: </w:t>
      </w:r>
      <w:r>
        <w:rPr>
          <w:b/>
          <w:sz w:val="24"/>
          <w:szCs w:val="24"/>
        </w:rPr>
        <w:t xml:space="preserve">Defectos visuales y ópticos en Vidrio </w:t>
      </w:r>
      <w:r w:rsidR="003B48BD">
        <w:rPr>
          <w:b/>
          <w:sz w:val="24"/>
          <w:szCs w:val="24"/>
        </w:rPr>
        <w:t>de Capa</w:t>
      </w:r>
      <w:r>
        <w:rPr>
          <w:b/>
          <w:sz w:val="24"/>
          <w:szCs w:val="24"/>
        </w:rPr>
        <w:t xml:space="preserve"> </w:t>
      </w:r>
    </w:p>
    <w:p w:rsidR="003B48BD" w:rsidRPr="00170683" w:rsidRDefault="003B48BD" w:rsidP="003B48BD">
      <w:pPr>
        <w:rPr>
          <w:lang w:val="es-ES_tradnl"/>
        </w:rPr>
      </w:pPr>
    </w:p>
    <w:p w:rsidR="003B48BD" w:rsidRDefault="003B48BD" w:rsidP="00DF62B8">
      <w:pPr>
        <w:jc w:val="both"/>
      </w:pPr>
      <w:r>
        <w:t>En la siguiente nota técnica se recogen los defectos de aspecto admisibles del vidrio de capa</w:t>
      </w:r>
      <w:r w:rsidR="00F16E7D">
        <w:t xml:space="preserve"> establecidos según la norma</w:t>
      </w:r>
      <w:r>
        <w:t xml:space="preserve"> </w:t>
      </w:r>
      <w:r>
        <w:rPr>
          <w:b/>
        </w:rPr>
        <w:t>UNE EN 1096-1 Vidrio para la edificación - Vidrio de capa.</w:t>
      </w:r>
    </w:p>
    <w:p w:rsidR="003B48BD" w:rsidRDefault="003B48BD" w:rsidP="00DF62B8">
      <w:pPr>
        <w:jc w:val="both"/>
      </w:pPr>
    </w:p>
    <w:p w:rsidR="003B48BD" w:rsidRPr="00AA122D" w:rsidRDefault="003B48BD" w:rsidP="00AA122D">
      <w:pPr>
        <w:jc w:val="both"/>
        <w:rPr>
          <w:sz w:val="18"/>
        </w:rPr>
      </w:pPr>
      <w:r>
        <w:tab/>
      </w:r>
      <w:r w:rsidRPr="002D0993">
        <w:rPr>
          <w:b/>
          <w:sz w:val="24"/>
          <w:u w:val="single"/>
        </w:rPr>
        <w:t>Defectos generales</w:t>
      </w:r>
    </w:p>
    <w:p w:rsidR="003B48BD" w:rsidRDefault="003B48BD" w:rsidP="00DF62B8">
      <w:pPr>
        <w:jc w:val="both"/>
      </w:pPr>
      <w:r>
        <w:tab/>
      </w:r>
    </w:p>
    <w:p w:rsidR="005E1FEE" w:rsidRDefault="005E1FEE" w:rsidP="00DF62B8">
      <w:pPr>
        <w:ind w:firstLine="708"/>
        <w:jc w:val="both"/>
      </w:pPr>
      <w:r w:rsidRPr="00C55CA4">
        <w:rPr>
          <w:b/>
        </w:rPr>
        <w:t>Definición:</w:t>
      </w:r>
    </w:p>
    <w:p w:rsidR="00745ADD" w:rsidRDefault="005E1FEE" w:rsidP="00DF62B8">
      <w:pPr>
        <w:ind w:left="708"/>
        <w:jc w:val="both"/>
      </w:pPr>
      <w:r>
        <w:t>Son l</w:t>
      </w:r>
      <w:r w:rsidR="00745ADD">
        <w:t>os defectos</w:t>
      </w:r>
      <w:r w:rsidR="00020EFB">
        <w:t xml:space="preserve"> que</w:t>
      </w:r>
      <w:r w:rsidR="00745ADD">
        <w:t xml:space="preserve"> se detectan de forma visual observando el vidrio de capa en transmisión y/o reflexión. Se puede utilizar como fuente luminosa un cielo artificial o luz natural.</w:t>
      </w:r>
    </w:p>
    <w:p w:rsidR="00745ADD" w:rsidRDefault="00745ADD" w:rsidP="00DF62B8">
      <w:pPr>
        <w:ind w:left="708"/>
        <w:jc w:val="both"/>
      </w:pPr>
    </w:p>
    <w:p w:rsidR="00745ADD" w:rsidRPr="005E1FEE" w:rsidRDefault="00745ADD" w:rsidP="00DF62B8">
      <w:pPr>
        <w:ind w:left="708"/>
        <w:jc w:val="both"/>
        <w:rPr>
          <w:u w:val="single"/>
        </w:rPr>
      </w:pPr>
      <w:r w:rsidRPr="005E1FEE">
        <w:rPr>
          <w:u w:val="single"/>
        </w:rPr>
        <w:t>Cielo artificial:</w:t>
      </w:r>
    </w:p>
    <w:p w:rsidR="00745ADD" w:rsidRDefault="003D2F33" w:rsidP="00DF62B8">
      <w:pPr>
        <w:ind w:left="708"/>
        <w:jc w:val="both"/>
      </w:pPr>
      <w:r>
        <w:t>Ver definición en UNE EN 1096-1</w:t>
      </w:r>
    </w:p>
    <w:p w:rsidR="00745ADD" w:rsidRDefault="00745ADD" w:rsidP="00DF62B8">
      <w:pPr>
        <w:ind w:left="708"/>
        <w:jc w:val="both"/>
      </w:pPr>
    </w:p>
    <w:p w:rsidR="00745ADD" w:rsidRPr="005E1FEE" w:rsidRDefault="00745ADD" w:rsidP="00DF62B8">
      <w:pPr>
        <w:ind w:left="708"/>
        <w:jc w:val="both"/>
        <w:rPr>
          <w:u w:val="single"/>
        </w:rPr>
      </w:pPr>
      <w:r w:rsidRPr="005E1FEE">
        <w:rPr>
          <w:u w:val="single"/>
        </w:rPr>
        <w:t>Iluminación natural diurna:</w:t>
      </w:r>
    </w:p>
    <w:p w:rsidR="00745ADD" w:rsidRDefault="00745ADD" w:rsidP="00DF62B8">
      <w:pPr>
        <w:ind w:left="708"/>
        <w:jc w:val="both"/>
      </w:pPr>
      <w:r>
        <w:t>La iluminación natural diurna es un cielo cubierto de forma uniforme, sin radiación solar directa.</w:t>
      </w:r>
    </w:p>
    <w:p w:rsidR="00745ADD" w:rsidRDefault="00745ADD" w:rsidP="00DF62B8">
      <w:pPr>
        <w:jc w:val="both"/>
      </w:pPr>
    </w:p>
    <w:p w:rsidR="005E1FEE" w:rsidRPr="00C55CA4" w:rsidRDefault="005E1FEE" w:rsidP="00DF62B8">
      <w:pPr>
        <w:ind w:firstLine="705"/>
        <w:jc w:val="both"/>
        <w:rPr>
          <w:b/>
        </w:rPr>
      </w:pPr>
      <w:r w:rsidRPr="00C55CA4">
        <w:rPr>
          <w:b/>
        </w:rPr>
        <w:t>Método de ensayo:</w:t>
      </w:r>
    </w:p>
    <w:p w:rsidR="003D2F33" w:rsidRDefault="003D2F33" w:rsidP="003D2F33">
      <w:pPr>
        <w:ind w:left="705"/>
        <w:jc w:val="both"/>
      </w:pPr>
      <w:r>
        <w:t xml:space="preserve">El vidrio se coloca a un </w:t>
      </w:r>
      <w:r w:rsidR="00072307">
        <w:t>mínimo</w:t>
      </w:r>
      <w:r>
        <w:t xml:space="preserve"> de 3 metros del </w:t>
      </w:r>
      <w:r w:rsidR="00072307">
        <w:t>observador</w:t>
      </w:r>
      <w:r>
        <w:t xml:space="preserve"> mostrando la cara exterior para su observación por reflexión y mostrando la cara interior para su observación por transmisión. </w:t>
      </w:r>
      <w:r w:rsidR="00AA122D">
        <w:t>Cada examen no durará más de 20 segundos.</w:t>
      </w:r>
    </w:p>
    <w:p w:rsidR="003D2F33" w:rsidRDefault="003D2F33" w:rsidP="003D2F33">
      <w:pPr>
        <w:ind w:left="705"/>
        <w:jc w:val="both"/>
      </w:pPr>
      <w:r>
        <w:t>Se definen dos zonas a observar denominadas zona de borde y zona principal.</w:t>
      </w:r>
    </w:p>
    <w:p w:rsidR="00AA122D" w:rsidRDefault="00AA122D" w:rsidP="003D2F33">
      <w:pPr>
        <w:ind w:left="705"/>
        <w:jc w:val="both"/>
      </w:pPr>
    </w:p>
    <w:p w:rsidR="003D2F33" w:rsidRPr="003D2F33" w:rsidRDefault="003D2F33" w:rsidP="003D2F33">
      <w:pPr>
        <w:ind w:firstLine="708"/>
        <w:jc w:val="right"/>
        <w:rPr>
          <w:rFonts w:cstheme="minorHAnsi"/>
          <w:sz w:val="18"/>
        </w:rPr>
      </w:pPr>
      <w:r w:rsidRPr="003D2F33">
        <w:rPr>
          <w:rFonts w:cstheme="minorHAnsi"/>
          <w:sz w:val="18"/>
        </w:rPr>
        <w:t>Figura 1. Zonas a examinar en vidrios con dimensiones acabadas dispuestos para la colocación.</w:t>
      </w:r>
    </w:p>
    <w:p w:rsidR="003D2F33" w:rsidRDefault="003D2F33" w:rsidP="003D2F33">
      <w:pPr>
        <w:ind w:left="705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noProof/>
          <w:lang w:eastAsia="es-ES"/>
        </w:rPr>
        <w:drawing>
          <wp:inline distT="0" distB="0" distL="0" distR="0" wp14:anchorId="505B9454" wp14:editId="6456473C">
            <wp:extent cx="2671943" cy="192449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87" cy="19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33" w:rsidRPr="003D2F33" w:rsidRDefault="003D2F33" w:rsidP="003D2F33">
      <w:pPr>
        <w:pStyle w:val="Prrafodelista"/>
        <w:numPr>
          <w:ilvl w:val="0"/>
          <w:numId w:val="5"/>
        </w:numPr>
        <w:jc w:val="both"/>
        <w:rPr>
          <w:rFonts w:cstheme="minorHAnsi"/>
          <w:sz w:val="18"/>
        </w:rPr>
      </w:pPr>
      <w:r w:rsidRPr="003D2F33">
        <w:rPr>
          <w:rFonts w:cstheme="minorHAnsi"/>
          <w:sz w:val="18"/>
        </w:rPr>
        <w:t>Zona de borde cuya dimensión es el 5% de la dimensión de H</w:t>
      </w:r>
    </w:p>
    <w:p w:rsidR="003D2F33" w:rsidRDefault="003D2F33" w:rsidP="003D2F33">
      <w:pPr>
        <w:pStyle w:val="Prrafodelista"/>
        <w:numPr>
          <w:ilvl w:val="0"/>
          <w:numId w:val="5"/>
        </w:numPr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Zona de borde cuya dimensión es el 5% de la dimensión de L</w:t>
      </w:r>
    </w:p>
    <w:p w:rsidR="003D2F33" w:rsidRDefault="003D2F33" w:rsidP="003D2F33">
      <w:pPr>
        <w:pStyle w:val="Prrafodelista"/>
        <w:numPr>
          <w:ilvl w:val="0"/>
          <w:numId w:val="5"/>
        </w:numPr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Zona de borde cuya dimensión es el 90% de la dimensión de H</w:t>
      </w:r>
    </w:p>
    <w:p w:rsidR="003D2F33" w:rsidRDefault="003D2F33" w:rsidP="003D2F33">
      <w:pPr>
        <w:pStyle w:val="Prrafodelista"/>
        <w:numPr>
          <w:ilvl w:val="0"/>
          <w:numId w:val="5"/>
        </w:numPr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Zona de borde cuya dimensión es el 90% de la dimensión de H</w:t>
      </w:r>
    </w:p>
    <w:p w:rsidR="003B48BD" w:rsidRDefault="003B48BD" w:rsidP="00DF62B8">
      <w:pPr>
        <w:ind w:left="705"/>
        <w:jc w:val="both"/>
        <w:rPr>
          <w:rFonts w:cstheme="minorHAnsi"/>
        </w:rPr>
      </w:pPr>
    </w:p>
    <w:p w:rsidR="008F7146" w:rsidRDefault="008F7146" w:rsidP="00E22BAE">
      <w:pPr>
        <w:jc w:val="both"/>
        <w:rPr>
          <w:rFonts w:cstheme="minorHAnsi"/>
          <w:u w:val="single"/>
        </w:rPr>
      </w:pPr>
    </w:p>
    <w:p w:rsidR="005E1FEE" w:rsidRPr="003D2F33" w:rsidRDefault="00FA7134" w:rsidP="008F7146">
      <w:pPr>
        <w:jc w:val="right"/>
        <w:rPr>
          <w:rFonts w:cstheme="minorHAnsi"/>
          <w:sz w:val="18"/>
        </w:rPr>
      </w:pPr>
      <w:r w:rsidRPr="003D2F33">
        <w:rPr>
          <w:rFonts w:cstheme="minorHAnsi"/>
          <w:sz w:val="18"/>
        </w:rPr>
        <w:t xml:space="preserve">Figura </w:t>
      </w:r>
      <w:r w:rsidR="003D2F33" w:rsidRPr="003D2F33">
        <w:rPr>
          <w:rFonts w:cstheme="minorHAnsi"/>
          <w:sz w:val="18"/>
        </w:rPr>
        <w:t>2</w:t>
      </w:r>
      <w:r w:rsidRPr="003D2F33">
        <w:rPr>
          <w:rFonts w:cstheme="minorHAnsi"/>
          <w:sz w:val="18"/>
        </w:rPr>
        <w:t xml:space="preserve">. </w:t>
      </w:r>
      <w:r w:rsidR="005E1FEE" w:rsidRPr="003D2F33">
        <w:rPr>
          <w:rFonts w:cstheme="minorHAnsi"/>
          <w:sz w:val="18"/>
        </w:rPr>
        <w:t>Esquemas de procedimiento de examen para el vidrio de capa</w:t>
      </w:r>
    </w:p>
    <w:p w:rsidR="00CB47C5" w:rsidRDefault="00AA122D" w:rsidP="00DF62B8">
      <w:pPr>
        <w:ind w:left="705"/>
        <w:jc w:val="both"/>
        <w:rPr>
          <w:rFonts w:cstheme="minorHAnsi"/>
          <w:u w:val="single"/>
        </w:rPr>
      </w:pPr>
      <w:r>
        <w:rPr>
          <w:rFonts w:cstheme="minorHAnsi"/>
          <w:noProof/>
          <w:u w:val="single"/>
          <w:lang w:eastAsia="es-ES"/>
        </w:rPr>
        <w:drawing>
          <wp:anchor distT="0" distB="0" distL="114300" distR="114300" simplePos="0" relativeHeight="251662335" behindDoc="0" locked="0" layoutInCell="1" allowOverlap="1" wp14:anchorId="154BC734" wp14:editId="1725D9DA">
            <wp:simplePos x="0" y="0"/>
            <wp:positionH relativeFrom="column">
              <wp:posOffset>1059342</wp:posOffset>
            </wp:positionH>
            <wp:positionV relativeFrom="paragraph">
              <wp:posOffset>40640</wp:posOffset>
            </wp:positionV>
            <wp:extent cx="3742055" cy="167894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7C5" w:rsidRDefault="00CB47C5" w:rsidP="00DF62B8">
      <w:pPr>
        <w:ind w:left="705"/>
        <w:jc w:val="both"/>
        <w:rPr>
          <w:rFonts w:cstheme="minorHAnsi"/>
          <w:u w:val="single"/>
        </w:rPr>
      </w:pPr>
    </w:p>
    <w:p w:rsidR="004F2E6B" w:rsidRDefault="004F2E6B" w:rsidP="00DF62B8">
      <w:pPr>
        <w:ind w:left="705"/>
        <w:jc w:val="both"/>
        <w:rPr>
          <w:rFonts w:cstheme="minorHAnsi"/>
          <w:b/>
          <w:sz w:val="24"/>
          <w:u w:val="single"/>
        </w:rPr>
      </w:pPr>
    </w:p>
    <w:p w:rsidR="00556694" w:rsidRDefault="004F2E6B" w:rsidP="00DF62B8">
      <w:pPr>
        <w:jc w:val="both"/>
        <w:rPr>
          <w:sz w:val="18"/>
        </w:rPr>
      </w:pPr>
      <w:r>
        <w:rPr>
          <w:sz w:val="18"/>
        </w:rPr>
        <w:t xml:space="preserve">                          </w:t>
      </w:r>
    </w:p>
    <w:p w:rsidR="005E1FEE" w:rsidRDefault="005E1FEE" w:rsidP="00DF62B8">
      <w:pPr>
        <w:jc w:val="both"/>
        <w:rPr>
          <w:sz w:val="18"/>
        </w:rPr>
      </w:pPr>
    </w:p>
    <w:p w:rsidR="005E1FEE" w:rsidRDefault="005E1FEE" w:rsidP="00DF62B8">
      <w:pPr>
        <w:jc w:val="both"/>
        <w:rPr>
          <w:sz w:val="18"/>
        </w:rPr>
      </w:pPr>
    </w:p>
    <w:p w:rsidR="005E1FEE" w:rsidRDefault="005E1FEE" w:rsidP="00DF62B8">
      <w:pPr>
        <w:jc w:val="both"/>
        <w:rPr>
          <w:sz w:val="18"/>
        </w:rPr>
      </w:pPr>
    </w:p>
    <w:p w:rsidR="005E1FEE" w:rsidRDefault="005E1FEE" w:rsidP="00DF62B8">
      <w:pPr>
        <w:jc w:val="both"/>
        <w:rPr>
          <w:sz w:val="18"/>
        </w:rPr>
      </w:pPr>
    </w:p>
    <w:p w:rsidR="005E1FEE" w:rsidRDefault="005E1FEE" w:rsidP="00DF62B8">
      <w:pPr>
        <w:jc w:val="both"/>
        <w:rPr>
          <w:sz w:val="18"/>
        </w:rPr>
      </w:pPr>
    </w:p>
    <w:p w:rsidR="005E1FEE" w:rsidRDefault="005E1FEE" w:rsidP="00DF62B8">
      <w:pPr>
        <w:jc w:val="both"/>
        <w:rPr>
          <w:sz w:val="18"/>
        </w:rPr>
      </w:pPr>
    </w:p>
    <w:p w:rsidR="005E1FEE" w:rsidRDefault="005E1FEE" w:rsidP="00DF62B8">
      <w:pPr>
        <w:jc w:val="both"/>
        <w:rPr>
          <w:sz w:val="18"/>
        </w:rPr>
      </w:pPr>
    </w:p>
    <w:p w:rsidR="005E1FEE" w:rsidRDefault="005E1FEE" w:rsidP="00DF62B8">
      <w:pPr>
        <w:jc w:val="both"/>
        <w:rPr>
          <w:sz w:val="18"/>
        </w:rPr>
      </w:pPr>
    </w:p>
    <w:p w:rsidR="004F2E6B" w:rsidRDefault="00AA122D" w:rsidP="003D2F33">
      <w:pPr>
        <w:jc w:val="right"/>
        <w:rPr>
          <w:b/>
        </w:rPr>
      </w:pPr>
      <w:r>
        <w:rPr>
          <w:rFonts w:cstheme="minorHAnsi"/>
          <w:noProof/>
          <w:u w:val="single"/>
          <w:lang w:eastAsia="es-ES"/>
        </w:rPr>
        <w:drawing>
          <wp:anchor distT="0" distB="0" distL="114300" distR="114300" simplePos="0" relativeHeight="251664384" behindDoc="0" locked="0" layoutInCell="1" allowOverlap="1" wp14:anchorId="2959C8F1" wp14:editId="747E84B6">
            <wp:simplePos x="0" y="0"/>
            <wp:positionH relativeFrom="column">
              <wp:posOffset>1136488</wp:posOffset>
            </wp:positionH>
            <wp:positionV relativeFrom="paragraph">
              <wp:posOffset>107315</wp:posOffset>
            </wp:positionV>
            <wp:extent cx="3636645" cy="1466850"/>
            <wp:effectExtent l="0" t="0" r="190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6B">
        <w:rPr>
          <w:sz w:val="18"/>
        </w:rPr>
        <w:t>Reflexión</w:t>
      </w:r>
    </w:p>
    <w:p w:rsidR="005E1FEE" w:rsidRDefault="005E1FEE" w:rsidP="00DF62B8">
      <w:pPr>
        <w:pStyle w:val="Prrafodelista"/>
        <w:ind w:left="1065"/>
        <w:jc w:val="both"/>
        <w:rPr>
          <w:rFonts w:cstheme="minorHAnsi"/>
          <w:sz w:val="18"/>
        </w:rPr>
      </w:pPr>
    </w:p>
    <w:p w:rsidR="003D2F33" w:rsidRDefault="003D2F33" w:rsidP="00DF62B8">
      <w:pPr>
        <w:pStyle w:val="Prrafodelista"/>
        <w:ind w:left="1065"/>
        <w:jc w:val="both"/>
        <w:rPr>
          <w:rFonts w:cstheme="minorHAnsi"/>
          <w:sz w:val="18"/>
        </w:rPr>
      </w:pPr>
    </w:p>
    <w:p w:rsidR="003D2F33" w:rsidRDefault="003D2F33" w:rsidP="00DF62B8">
      <w:pPr>
        <w:pStyle w:val="Prrafodelista"/>
        <w:ind w:left="1065"/>
        <w:jc w:val="both"/>
        <w:rPr>
          <w:rFonts w:cstheme="minorHAnsi"/>
          <w:sz w:val="18"/>
        </w:rPr>
      </w:pPr>
    </w:p>
    <w:p w:rsidR="003D2F33" w:rsidRDefault="003D2F33" w:rsidP="00DF62B8">
      <w:pPr>
        <w:pStyle w:val="Prrafodelista"/>
        <w:ind w:left="1065"/>
        <w:jc w:val="both"/>
        <w:rPr>
          <w:rFonts w:cstheme="minorHAnsi"/>
          <w:sz w:val="18"/>
        </w:rPr>
      </w:pPr>
    </w:p>
    <w:p w:rsidR="003D2F33" w:rsidRDefault="003D2F33" w:rsidP="00DF62B8">
      <w:pPr>
        <w:pStyle w:val="Prrafodelista"/>
        <w:ind w:left="1065"/>
        <w:jc w:val="both"/>
        <w:rPr>
          <w:rFonts w:cstheme="minorHAnsi"/>
          <w:sz w:val="18"/>
        </w:rPr>
      </w:pPr>
    </w:p>
    <w:p w:rsidR="003D2F33" w:rsidRDefault="003D2F33" w:rsidP="00DF62B8">
      <w:pPr>
        <w:pStyle w:val="Prrafodelista"/>
        <w:ind w:left="1065"/>
        <w:jc w:val="both"/>
        <w:rPr>
          <w:rFonts w:cstheme="minorHAnsi"/>
          <w:sz w:val="18"/>
        </w:rPr>
      </w:pPr>
    </w:p>
    <w:p w:rsidR="003D2F33" w:rsidRDefault="003D2F33" w:rsidP="00DF62B8">
      <w:pPr>
        <w:pStyle w:val="Prrafodelista"/>
        <w:ind w:left="1065"/>
        <w:jc w:val="both"/>
        <w:rPr>
          <w:rFonts w:cstheme="minorHAnsi"/>
          <w:sz w:val="18"/>
        </w:rPr>
      </w:pPr>
    </w:p>
    <w:p w:rsidR="003D2F33" w:rsidRDefault="003D2F33" w:rsidP="00DF62B8">
      <w:pPr>
        <w:pStyle w:val="Prrafodelista"/>
        <w:ind w:left="1065"/>
        <w:jc w:val="both"/>
        <w:rPr>
          <w:rFonts w:cstheme="minorHAnsi"/>
          <w:sz w:val="18"/>
        </w:rPr>
      </w:pPr>
    </w:p>
    <w:p w:rsidR="003D2F33" w:rsidRDefault="003D2F33" w:rsidP="00DF62B8">
      <w:pPr>
        <w:pStyle w:val="Prrafodelista"/>
        <w:ind w:left="1065"/>
        <w:jc w:val="both"/>
        <w:rPr>
          <w:rFonts w:cstheme="minorHAnsi"/>
          <w:sz w:val="18"/>
        </w:rPr>
      </w:pPr>
    </w:p>
    <w:p w:rsidR="003D2F33" w:rsidRDefault="003D2F33" w:rsidP="00DF62B8">
      <w:pPr>
        <w:pStyle w:val="Prrafodelista"/>
        <w:ind w:left="1065"/>
        <w:jc w:val="both"/>
        <w:rPr>
          <w:rFonts w:cstheme="minorHAnsi"/>
          <w:sz w:val="18"/>
        </w:rPr>
      </w:pPr>
    </w:p>
    <w:p w:rsidR="003D2F33" w:rsidRDefault="003D2F33" w:rsidP="00DF62B8">
      <w:pPr>
        <w:pStyle w:val="Prrafodelista"/>
        <w:ind w:left="1065"/>
        <w:jc w:val="both"/>
        <w:rPr>
          <w:rFonts w:cstheme="minorHAnsi"/>
          <w:sz w:val="18"/>
        </w:rPr>
      </w:pPr>
    </w:p>
    <w:p w:rsidR="003D2F33" w:rsidRDefault="003D2F33" w:rsidP="00AA122D">
      <w:pPr>
        <w:jc w:val="right"/>
        <w:rPr>
          <w:b/>
        </w:rPr>
      </w:pPr>
      <w:r>
        <w:rPr>
          <w:b/>
        </w:rPr>
        <w:t xml:space="preserve">                                       </w:t>
      </w:r>
      <w:r>
        <w:rPr>
          <w:sz w:val="18"/>
        </w:rPr>
        <w:t>Transmisión</w:t>
      </w:r>
    </w:p>
    <w:p w:rsidR="003D2F33" w:rsidRDefault="003D2F33" w:rsidP="00DF62B8">
      <w:pPr>
        <w:pStyle w:val="Prrafodelista"/>
        <w:ind w:left="1065"/>
        <w:jc w:val="both"/>
        <w:rPr>
          <w:rFonts w:cstheme="minorHAnsi"/>
          <w:sz w:val="18"/>
        </w:rPr>
      </w:pPr>
    </w:p>
    <w:p w:rsidR="00556694" w:rsidRPr="00556694" w:rsidRDefault="00556694" w:rsidP="00AA122D">
      <w:pPr>
        <w:pStyle w:val="Prrafodelista"/>
        <w:numPr>
          <w:ilvl w:val="0"/>
          <w:numId w:val="6"/>
        </w:numPr>
        <w:rPr>
          <w:rFonts w:cstheme="minorHAnsi"/>
          <w:sz w:val="18"/>
        </w:rPr>
      </w:pPr>
      <w:r>
        <w:rPr>
          <w:rFonts w:cstheme="minorHAnsi"/>
          <w:sz w:val="18"/>
        </w:rPr>
        <w:t>Fuente luminosa</w:t>
      </w:r>
    </w:p>
    <w:p w:rsidR="00556694" w:rsidRDefault="00556694" w:rsidP="00AA122D">
      <w:pPr>
        <w:pStyle w:val="Prrafodelista"/>
        <w:numPr>
          <w:ilvl w:val="0"/>
          <w:numId w:val="6"/>
        </w:numPr>
        <w:rPr>
          <w:rFonts w:cstheme="minorHAnsi"/>
          <w:sz w:val="18"/>
        </w:rPr>
      </w:pPr>
      <w:r>
        <w:rPr>
          <w:rFonts w:cstheme="minorHAnsi"/>
          <w:sz w:val="18"/>
        </w:rPr>
        <w:t>Posición del observador</w:t>
      </w:r>
    </w:p>
    <w:p w:rsidR="00556694" w:rsidRDefault="00556694" w:rsidP="00AA122D">
      <w:pPr>
        <w:pStyle w:val="Prrafodelista"/>
        <w:numPr>
          <w:ilvl w:val="0"/>
          <w:numId w:val="6"/>
        </w:numPr>
        <w:rPr>
          <w:rFonts w:cstheme="minorHAnsi"/>
          <w:sz w:val="18"/>
        </w:rPr>
      </w:pPr>
      <w:r>
        <w:rPr>
          <w:rFonts w:cstheme="minorHAnsi"/>
          <w:sz w:val="18"/>
        </w:rPr>
        <w:t>Muestra de vidrio de capa</w:t>
      </w:r>
    </w:p>
    <w:p w:rsidR="004F2E6B" w:rsidRDefault="004F2E6B" w:rsidP="00DF62B8">
      <w:pPr>
        <w:ind w:left="705"/>
        <w:jc w:val="both"/>
        <w:rPr>
          <w:rFonts w:cstheme="minorHAnsi"/>
          <w:b/>
          <w:sz w:val="24"/>
          <w:u w:val="single"/>
        </w:rPr>
      </w:pPr>
    </w:p>
    <w:p w:rsidR="005E1FEE" w:rsidRDefault="005E1FEE" w:rsidP="00DF62B8">
      <w:pPr>
        <w:pStyle w:val="Prrafodelista"/>
        <w:ind w:left="1065"/>
        <w:jc w:val="both"/>
        <w:rPr>
          <w:rFonts w:cstheme="minorHAnsi"/>
          <w:sz w:val="18"/>
        </w:rPr>
      </w:pPr>
    </w:p>
    <w:p w:rsidR="003B48BD" w:rsidRPr="002D0993" w:rsidRDefault="003B48BD" w:rsidP="008F7146">
      <w:pPr>
        <w:ind w:firstLine="705"/>
        <w:jc w:val="both"/>
        <w:rPr>
          <w:rFonts w:cstheme="minorHAnsi"/>
          <w:b/>
          <w:sz w:val="24"/>
          <w:u w:val="single"/>
        </w:rPr>
      </w:pPr>
      <w:r w:rsidRPr="002D0993">
        <w:rPr>
          <w:rFonts w:cstheme="minorHAnsi"/>
          <w:b/>
          <w:sz w:val="24"/>
          <w:u w:val="single"/>
        </w:rPr>
        <w:t>Defectos de mancha y uniformidad</w:t>
      </w:r>
    </w:p>
    <w:p w:rsidR="003B48BD" w:rsidRDefault="003B48BD" w:rsidP="00DF62B8">
      <w:pPr>
        <w:ind w:left="705"/>
        <w:jc w:val="both"/>
        <w:rPr>
          <w:rFonts w:cstheme="minorHAnsi"/>
        </w:rPr>
      </w:pPr>
    </w:p>
    <w:p w:rsidR="002D0993" w:rsidRPr="00C55CA4" w:rsidRDefault="002D0993" w:rsidP="00DF62B8">
      <w:pPr>
        <w:ind w:firstLine="705"/>
        <w:jc w:val="both"/>
        <w:rPr>
          <w:b/>
        </w:rPr>
      </w:pPr>
      <w:r w:rsidRPr="00C55CA4">
        <w:rPr>
          <w:b/>
        </w:rPr>
        <w:t>Definición:</w:t>
      </w:r>
    </w:p>
    <w:p w:rsidR="002D0993" w:rsidRPr="00C55CA4" w:rsidRDefault="002D0993" w:rsidP="00DF62B8">
      <w:pPr>
        <w:ind w:left="705"/>
        <w:jc w:val="both"/>
      </w:pPr>
      <w:r>
        <w:t>Son defectos más grandes que un defecto puntual en la capa, frecuentemente de forma irregular, parcialmente de estructura moteada.</w:t>
      </w:r>
    </w:p>
    <w:p w:rsidR="002D0993" w:rsidRDefault="002D0993" w:rsidP="00DF62B8">
      <w:pPr>
        <w:ind w:left="705"/>
        <w:jc w:val="both"/>
      </w:pPr>
    </w:p>
    <w:p w:rsidR="002D0993" w:rsidRPr="00C55CA4" w:rsidRDefault="002D0993" w:rsidP="00DF62B8">
      <w:pPr>
        <w:ind w:firstLine="705"/>
        <w:jc w:val="both"/>
        <w:rPr>
          <w:b/>
        </w:rPr>
      </w:pPr>
      <w:r w:rsidRPr="00C55CA4">
        <w:rPr>
          <w:b/>
        </w:rPr>
        <w:t>Método de ensayo:</w:t>
      </w:r>
    </w:p>
    <w:p w:rsidR="00E22BAE" w:rsidRDefault="00072307" w:rsidP="00072307">
      <w:pPr>
        <w:ind w:left="705"/>
        <w:jc w:val="both"/>
      </w:pPr>
      <w:r>
        <w:t xml:space="preserve">El vidrio se coloca a un mínimo de 3 metros del observador mostrando la cara exterior para su observación por reflexión y mostrando la cara interior para su observación por transmisión. </w:t>
      </w:r>
    </w:p>
    <w:p w:rsidR="003B48BD" w:rsidRDefault="00072307" w:rsidP="00072307">
      <w:pPr>
        <w:ind w:left="705"/>
        <w:jc w:val="both"/>
      </w:pPr>
      <w:r>
        <w:t>Cada examen no durará más de 20 segundos.</w:t>
      </w:r>
    </w:p>
    <w:p w:rsidR="003B48BD" w:rsidRDefault="003B48BD" w:rsidP="00DF62B8">
      <w:pPr>
        <w:ind w:left="708"/>
        <w:jc w:val="both"/>
      </w:pPr>
      <w:r>
        <w:t>Se observa la hoja de vidrio y se anota la presencia de defectos molestos a la vista.</w:t>
      </w:r>
    </w:p>
    <w:p w:rsidR="008F7146" w:rsidRDefault="008F7146" w:rsidP="008F7146">
      <w:pPr>
        <w:ind w:firstLine="708"/>
        <w:jc w:val="both"/>
        <w:rPr>
          <w:b/>
        </w:rPr>
      </w:pPr>
    </w:p>
    <w:p w:rsidR="007A3BB2" w:rsidRPr="007A3BB2" w:rsidRDefault="007A3BB2" w:rsidP="008F7146">
      <w:pPr>
        <w:ind w:firstLine="708"/>
        <w:jc w:val="both"/>
        <w:rPr>
          <w:b/>
        </w:rPr>
      </w:pPr>
      <w:r>
        <w:rPr>
          <w:b/>
        </w:rPr>
        <w:t>Tolerancias:</w:t>
      </w:r>
    </w:p>
    <w:p w:rsidR="007A3BB2" w:rsidRDefault="007A3BB2" w:rsidP="00DF62B8">
      <w:pPr>
        <w:ind w:left="708"/>
        <w:jc w:val="both"/>
      </w:pPr>
      <w:r>
        <w:t>En la tabla 1 se indican los criterios de aceptación para los defectos de los vidrios de capa.</w:t>
      </w:r>
    </w:p>
    <w:p w:rsidR="00D0018B" w:rsidRDefault="00D0018B" w:rsidP="00DF62B8">
      <w:pPr>
        <w:ind w:firstLine="705"/>
        <w:jc w:val="both"/>
        <w:rPr>
          <w:rFonts w:cstheme="minorHAnsi"/>
          <w:b/>
          <w:sz w:val="24"/>
          <w:u w:val="single"/>
        </w:rPr>
      </w:pPr>
    </w:p>
    <w:p w:rsidR="00170683" w:rsidRDefault="00170683" w:rsidP="00170683">
      <w:pPr>
        <w:jc w:val="both"/>
        <w:rPr>
          <w:rFonts w:cstheme="minorHAnsi"/>
          <w:b/>
          <w:sz w:val="24"/>
          <w:u w:val="single"/>
        </w:rPr>
      </w:pPr>
    </w:p>
    <w:p w:rsidR="007A12D4" w:rsidRDefault="007A12D4" w:rsidP="00170683">
      <w:pPr>
        <w:jc w:val="both"/>
        <w:rPr>
          <w:rFonts w:cstheme="minorHAnsi"/>
          <w:b/>
          <w:sz w:val="24"/>
          <w:u w:val="single"/>
        </w:rPr>
      </w:pPr>
    </w:p>
    <w:p w:rsidR="003B48BD" w:rsidRPr="002D0993" w:rsidRDefault="003B48BD" w:rsidP="00F24492">
      <w:pPr>
        <w:ind w:firstLine="705"/>
        <w:jc w:val="both"/>
        <w:rPr>
          <w:rFonts w:cstheme="minorHAnsi"/>
          <w:b/>
          <w:sz w:val="24"/>
          <w:u w:val="single"/>
        </w:rPr>
      </w:pPr>
      <w:r w:rsidRPr="002D0993">
        <w:rPr>
          <w:rFonts w:cstheme="minorHAnsi"/>
          <w:b/>
          <w:sz w:val="24"/>
          <w:u w:val="single"/>
        </w:rPr>
        <w:lastRenderedPageBreak/>
        <w:t>Defectos puntuales</w:t>
      </w:r>
    </w:p>
    <w:p w:rsidR="002D0993" w:rsidRDefault="002D0993" w:rsidP="00DF62B8">
      <w:pPr>
        <w:ind w:firstLine="705"/>
        <w:jc w:val="both"/>
        <w:rPr>
          <w:b/>
        </w:rPr>
      </w:pPr>
    </w:p>
    <w:p w:rsidR="002D0993" w:rsidRPr="00C55CA4" w:rsidRDefault="002D0993" w:rsidP="00DF62B8">
      <w:pPr>
        <w:ind w:firstLine="705"/>
        <w:jc w:val="both"/>
        <w:rPr>
          <w:b/>
        </w:rPr>
      </w:pPr>
      <w:r w:rsidRPr="00C55CA4">
        <w:rPr>
          <w:b/>
        </w:rPr>
        <w:t>Definición:</w:t>
      </w:r>
    </w:p>
    <w:p w:rsidR="002D0993" w:rsidRPr="00C55CA4" w:rsidRDefault="002D0993" w:rsidP="00DF62B8">
      <w:pPr>
        <w:ind w:left="705"/>
        <w:jc w:val="both"/>
      </w:pPr>
      <w:r>
        <w:t>Son perturbaciones puntuales de la transparencia visual cuando se mira a través del vidrio, y del factor de reflexión visual cuando se mira el vidrio.</w:t>
      </w:r>
    </w:p>
    <w:p w:rsidR="00072307" w:rsidRDefault="00072307" w:rsidP="00617CAA">
      <w:pPr>
        <w:jc w:val="both"/>
        <w:rPr>
          <w:b/>
        </w:rPr>
      </w:pPr>
    </w:p>
    <w:p w:rsidR="003B48BD" w:rsidRPr="002D0993" w:rsidRDefault="002D0993" w:rsidP="00DF62B8">
      <w:pPr>
        <w:ind w:firstLine="705"/>
        <w:jc w:val="both"/>
        <w:rPr>
          <w:b/>
        </w:rPr>
      </w:pPr>
      <w:r w:rsidRPr="00C55CA4">
        <w:rPr>
          <w:b/>
        </w:rPr>
        <w:t>Método de ensayo:</w:t>
      </w:r>
    </w:p>
    <w:p w:rsidR="003B48BD" w:rsidRDefault="00072307" w:rsidP="00072307">
      <w:pPr>
        <w:ind w:left="705"/>
        <w:jc w:val="both"/>
      </w:pPr>
      <w:r>
        <w:t>El vidrio se coloca a un mínimo de 3 metros del observador mostrando la cara exterior para su observación por reflexión y mostrando la cara interior para su observación por transmisión. Cada examen no durará más de 20 segundos.</w:t>
      </w:r>
      <w:r w:rsidR="00510C78">
        <w:t xml:space="preserve"> </w:t>
      </w:r>
      <w:r w:rsidR="003B48BD">
        <w:t>Se observa la hoja de vidrio y se anota la presencia de lunares, aguje</w:t>
      </w:r>
      <w:bookmarkStart w:id="0" w:name="_GoBack"/>
      <w:bookmarkEnd w:id="0"/>
      <w:r w:rsidR="003B48BD">
        <w:t>ros y/o rasguños que resulten molestos a la vista.</w:t>
      </w:r>
    </w:p>
    <w:p w:rsidR="00510C78" w:rsidRDefault="00510C78" w:rsidP="00DF62B8">
      <w:pPr>
        <w:ind w:left="705"/>
        <w:jc w:val="both"/>
      </w:pPr>
      <w:r>
        <w:t xml:space="preserve">En el caso de lunares/agujeros se mide su </w:t>
      </w:r>
      <w:r w:rsidR="00FA7134">
        <w:t>dimensión</w:t>
      </w:r>
      <w:r>
        <w:t xml:space="preserve"> y se anota su número en relación al tamaño del panel. Si se dan </w:t>
      </w:r>
      <w:r w:rsidR="00FA7134">
        <w:t>agrupaciones</w:t>
      </w:r>
      <w:r>
        <w:t>, debe determinarse en relación a la zona de visión.</w:t>
      </w:r>
    </w:p>
    <w:p w:rsidR="007A3BB2" w:rsidRDefault="00510C78" w:rsidP="007A12D4">
      <w:pPr>
        <w:ind w:left="705"/>
        <w:jc w:val="both"/>
      </w:pPr>
      <w:r>
        <w:t xml:space="preserve">En el caso de rasguños, se determina si se encuentran o no en la zona principal o en los bordes. Se mide la longitud de todo rasguño observado. Si el rasguño &gt; 75 mm, se determina la distancia que lo separa de los rasguños adyacentes. En el caso de rasguños </w:t>
      </w:r>
      <w:r>
        <w:rPr>
          <w:rFonts w:cstheme="minorHAnsi"/>
        </w:rPr>
        <w:t>≤</w:t>
      </w:r>
      <w:r>
        <w:t xml:space="preserve"> 75 mm, se anotan todas las zonas en las que su densidad provoque una molestia visual.</w:t>
      </w:r>
    </w:p>
    <w:p w:rsidR="007A12D4" w:rsidRDefault="007A12D4" w:rsidP="007A12D4">
      <w:pPr>
        <w:ind w:left="705"/>
        <w:jc w:val="both"/>
      </w:pPr>
    </w:p>
    <w:p w:rsidR="007A3BB2" w:rsidRPr="007A3BB2" w:rsidRDefault="007A3BB2" w:rsidP="00DF62B8">
      <w:pPr>
        <w:ind w:firstLine="705"/>
        <w:jc w:val="both"/>
        <w:rPr>
          <w:b/>
        </w:rPr>
      </w:pPr>
      <w:r>
        <w:rPr>
          <w:b/>
        </w:rPr>
        <w:t>Tolerancias</w:t>
      </w:r>
    </w:p>
    <w:p w:rsidR="008F7146" w:rsidRPr="00F24492" w:rsidRDefault="007A3BB2" w:rsidP="00F24492">
      <w:pPr>
        <w:ind w:left="708"/>
        <w:jc w:val="both"/>
      </w:pPr>
      <w:r>
        <w:t>En la siguiente tabla se indican los criterios de aceptación para los defectos de los vidrios de capa.</w:t>
      </w:r>
    </w:p>
    <w:p w:rsidR="00DF62B8" w:rsidRPr="008F7146" w:rsidRDefault="008F7146" w:rsidP="008F7146">
      <w:pPr>
        <w:jc w:val="right"/>
        <w:rPr>
          <w:sz w:val="18"/>
        </w:rPr>
      </w:pPr>
      <w:r>
        <w:rPr>
          <w:sz w:val="18"/>
        </w:rPr>
        <w:t>Tabla 1 – Criterios de aceptación para los defectos de los vidrios de capa</w:t>
      </w:r>
    </w:p>
    <w:tbl>
      <w:tblPr>
        <w:tblStyle w:val="Tablaconcuadrcula"/>
        <w:tblW w:w="10240" w:type="dxa"/>
        <w:jc w:val="center"/>
        <w:tblInd w:w="0" w:type="dxa"/>
        <w:tblLook w:val="04A0" w:firstRow="1" w:lastRow="0" w:firstColumn="1" w:lastColumn="0" w:noHBand="0" w:noVBand="1"/>
      </w:tblPr>
      <w:tblGrid>
        <w:gridCol w:w="3273"/>
        <w:gridCol w:w="1645"/>
        <w:gridCol w:w="2454"/>
        <w:gridCol w:w="2868"/>
      </w:tblGrid>
      <w:tr w:rsidR="007A3BB2" w:rsidTr="00074380">
        <w:trPr>
          <w:trHeight w:val="77"/>
          <w:jc w:val="center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BB2" w:rsidRDefault="007A3BB2" w:rsidP="00074380">
            <w:pPr>
              <w:pStyle w:val="Prrafodelista"/>
              <w:ind w:left="0"/>
              <w:jc w:val="center"/>
              <w:rPr>
                <w:b/>
              </w:rPr>
            </w:pPr>
          </w:p>
          <w:p w:rsidR="007A3BB2" w:rsidRDefault="007A3BB2" w:rsidP="000743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Tipos de Defectos</w:t>
            </w:r>
          </w:p>
          <w:p w:rsidR="007A3BB2" w:rsidRDefault="007A3BB2" w:rsidP="00074380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BB2" w:rsidRDefault="007A3BB2" w:rsidP="000743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Criterios de Aceptación</w:t>
            </w:r>
          </w:p>
        </w:tc>
      </w:tr>
      <w:tr w:rsidR="007A3BB2" w:rsidTr="0007438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2" w:rsidRDefault="007A3BB2" w:rsidP="00074380">
            <w:pPr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3BB2" w:rsidRDefault="007A3BB2" w:rsidP="000743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Panel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BB2" w:rsidRDefault="007A3BB2" w:rsidP="000743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Panel Individual</w:t>
            </w:r>
          </w:p>
        </w:tc>
      </w:tr>
      <w:tr w:rsidR="007A3BB2" w:rsidTr="007A12D4">
        <w:trPr>
          <w:trHeight w:val="77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Uniformidad /Mancha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>Admisible si no resulta visualmente molesto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>Admisible en tanto que no resulten molestos visualmente</w:t>
            </w:r>
          </w:p>
        </w:tc>
      </w:tr>
      <w:tr w:rsidR="007A3BB2" w:rsidTr="007A12D4">
        <w:trPr>
          <w:trHeight w:val="291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Puntual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BB2" w:rsidRDefault="007A3BB2" w:rsidP="008535D6">
            <w:pPr>
              <w:pStyle w:val="Prrafodelista"/>
              <w:ind w:left="0"/>
              <w:jc w:val="center"/>
            </w:pPr>
          </w:p>
          <w:p w:rsidR="007A3BB2" w:rsidRDefault="007A3BB2" w:rsidP="008535D6">
            <w:pPr>
              <w:pStyle w:val="Prrafodelista"/>
              <w:ind w:left="0"/>
              <w:jc w:val="center"/>
            </w:pPr>
            <w:r>
              <w:t>No aplicable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Zona Principal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Borde</w:t>
            </w:r>
          </w:p>
        </w:tc>
      </w:tr>
      <w:tr w:rsidR="007A3BB2" w:rsidTr="005E1FEE">
        <w:trPr>
          <w:trHeight w:val="359"/>
          <w:jc w:val="center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>Lunares/agujeros &gt; 3mm.</w:t>
            </w:r>
          </w:p>
          <w:p w:rsidR="007A3BB2" w:rsidRDefault="007A3BB2" w:rsidP="008535D6">
            <w:pPr>
              <w:pStyle w:val="Prrafodelista"/>
              <w:ind w:left="0"/>
              <w:jc w:val="center"/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B2" w:rsidRDefault="007A3BB2" w:rsidP="008535D6">
            <w:pPr>
              <w:pStyle w:val="Prrafodelista"/>
              <w:ind w:left="0"/>
              <w:jc w:val="center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>No admisibles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>No admisibles</w:t>
            </w:r>
          </w:p>
        </w:tc>
      </w:tr>
      <w:tr w:rsidR="007A3BB2" w:rsidTr="005E1FEE">
        <w:trPr>
          <w:trHeight w:val="359"/>
          <w:jc w:val="center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 xml:space="preserve">Lunares/agujeros &gt; 2 y </w:t>
            </w:r>
            <w:r>
              <w:rPr>
                <w:rFonts w:cstheme="minorHAnsi"/>
              </w:rPr>
              <w:t>≤</w:t>
            </w:r>
            <w:r>
              <w:t xml:space="preserve"> 3mm.</w:t>
            </w:r>
          </w:p>
          <w:p w:rsidR="007A3BB2" w:rsidRDefault="007A3BB2" w:rsidP="008535D6">
            <w:pPr>
              <w:pStyle w:val="Prrafodelista"/>
              <w:ind w:left="0"/>
              <w:jc w:val="center"/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B2" w:rsidRDefault="007A3BB2" w:rsidP="008535D6">
            <w:pPr>
              <w:pStyle w:val="Prrafodelista"/>
              <w:ind w:left="0"/>
              <w:jc w:val="center"/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 xml:space="preserve">Admisibles si </w:t>
            </w:r>
            <w:r>
              <w:rPr>
                <w:rFonts w:cstheme="minorHAnsi"/>
              </w:rPr>
              <w:t>≤1 por 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 xml:space="preserve">Admisibles si </w:t>
            </w:r>
            <w:r>
              <w:rPr>
                <w:rFonts w:cstheme="minorHAnsi"/>
              </w:rPr>
              <w:t>≤1 por m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7A3BB2" w:rsidTr="005E1FEE">
        <w:trPr>
          <w:trHeight w:val="359"/>
          <w:jc w:val="center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>Agrupaciones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B2" w:rsidRDefault="007A3BB2" w:rsidP="008535D6">
            <w:pPr>
              <w:pStyle w:val="Prrafodelista"/>
              <w:ind w:left="0"/>
              <w:jc w:val="center"/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>No admisibles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>Admisibles si están fuera de la zona de visión</w:t>
            </w:r>
          </w:p>
        </w:tc>
      </w:tr>
      <w:tr w:rsidR="007A3BB2" w:rsidTr="005E1FEE">
        <w:trPr>
          <w:trHeight w:val="359"/>
          <w:jc w:val="center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 xml:space="preserve">Rasguños &gt; 75 </w:t>
            </w:r>
            <w:proofErr w:type="spellStart"/>
            <w:r>
              <w:t>mm.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B2" w:rsidRDefault="007A3BB2" w:rsidP="008535D6">
            <w:pPr>
              <w:pStyle w:val="Prrafodelista"/>
              <w:ind w:left="0"/>
              <w:jc w:val="center"/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>No admisibles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>Admisible si separación</w:t>
            </w:r>
          </w:p>
          <w:p w:rsidR="007A3BB2" w:rsidRDefault="007A3BB2" w:rsidP="008535D6">
            <w:pPr>
              <w:pStyle w:val="Prrafodelista"/>
              <w:ind w:left="0"/>
              <w:jc w:val="center"/>
            </w:pPr>
            <w:r>
              <w:t xml:space="preserve"> &gt; 50 </w:t>
            </w:r>
            <w:proofErr w:type="spellStart"/>
            <w:r>
              <w:t>mm.</w:t>
            </w:r>
            <w:proofErr w:type="spellEnd"/>
          </w:p>
        </w:tc>
      </w:tr>
      <w:tr w:rsidR="007A3BB2" w:rsidTr="00D0018B">
        <w:trPr>
          <w:trHeight w:val="550"/>
          <w:jc w:val="center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 xml:space="preserve">Rasguños </w:t>
            </w:r>
            <w:r>
              <w:rPr>
                <w:rFonts w:cstheme="minorHAnsi"/>
              </w:rPr>
              <w:t>≤</w:t>
            </w:r>
            <w:r>
              <w:t xml:space="preserve"> 75 </w:t>
            </w:r>
            <w:proofErr w:type="spellStart"/>
            <w:r>
              <w:t>mm.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B2" w:rsidRDefault="007A3BB2" w:rsidP="008535D6">
            <w:pPr>
              <w:pStyle w:val="Prrafodelista"/>
              <w:ind w:left="0"/>
              <w:jc w:val="center"/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>Admisible si la densidad local no resulta visualmente molesta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2" w:rsidRDefault="007A3BB2" w:rsidP="008535D6">
            <w:pPr>
              <w:pStyle w:val="Prrafodelista"/>
              <w:ind w:left="0"/>
              <w:jc w:val="center"/>
            </w:pPr>
            <w:r>
              <w:t>Admisible si la densidad local no resulta visualmente molesta</w:t>
            </w:r>
          </w:p>
        </w:tc>
      </w:tr>
      <w:tr w:rsidR="00D0018B" w:rsidTr="00F24492">
        <w:trPr>
          <w:trHeight w:val="309"/>
          <w:jc w:val="center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B" w:rsidRPr="00F24492" w:rsidRDefault="00D0018B" w:rsidP="00D0018B">
            <w:pPr>
              <w:pStyle w:val="Prrafodelista"/>
              <w:ind w:left="0"/>
              <w:rPr>
                <w:sz w:val="18"/>
              </w:rPr>
            </w:pPr>
            <w:r w:rsidRPr="00F24492">
              <w:rPr>
                <w:sz w:val="18"/>
              </w:rPr>
              <w:t>Panel: Hoja de vidrio de capa con dimensiones para su suministro</w:t>
            </w:r>
          </w:p>
          <w:p w:rsidR="00D0018B" w:rsidRDefault="00D0018B" w:rsidP="00D0018B">
            <w:pPr>
              <w:pStyle w:val="Prrafodelista"/>
              <w:ind w:left="0"/>
            </w:pPr>
            <w:r w:rsidRPr="00F24492">
              <w:rPr>
                <w:sz w:val="18"/>
              </w:rPr>
              <w:t>Panel Individual: Hoja de vidrio de capa con dimensiones acabadas preparadas para su colocación.</w:t>
            </w:r>
          </w:p>
        </w:tc>
      </w:tr>
    </w:tbl>
    <w:p w:rsidR="002A76B9" w:rsidRPr="00D0018B" w:rsidRDefault="002A76B9" w:rsidP="00617CAA">
      <w:pPr>
        <w:pStyle w:val="Asunto"/>
        <w:spacing w:before="0" w:after="0"/>
        <w:rPr>
          <w:rFonts w:asciiTheme="minorHAnsi" w:hAnsiTheme="minorHAnsi" w:cstheme="minorHAnsi"/>
          <w:sz w:val="24"/>
          <w:szCs w:val="24"/>
          <w:lang w:val="es-ES"/>
        </w:rPr>
      </w:pPr>
    </w:p>
    <w:sectPr w:rsidR="002A76B9" w:rsidRPr="00D0018B" w:rsidSect="00170683">
      <w:headerReference w:type="default" r:id="rId12"/>
      <w:footerReference w:type="default" r:id="rId13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45" w:rsidRDefault="00410245" w:rsidP="00B54FB4">
      <w:r>
        <w:separator/>
      </w:r>
    </w:p>
  </w:endnote>
  <w:endnote w:type="continuationSeparator" w:id="0">
    <w:p w:rsidR="00410245" w:rsidRDefault="00410245" w:rsidP="00B5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D3" w:rsidRDefault="000227D3" w:rsidP="00100924">
    <w:pPr>
      <w:tabs>
        <w:tab w:val="left" w:pos="8505"/>
      </w:tabs>
      <w:ind w:right="-1"/>
      <w:jc w:val="center"/>
      <w:rPr>
        <w:rFonts w:ascii="AvantGarde" w:hAnsi="AvantGarde"/>
        <w:color w:val="808080"/>
        <w:sz w:val="12"/>
      </w:rPr>
    </w:pPr>
    <w:r w:rsidRPr="003C788C">
      <w:rPr>
        <w:rFonts w:ascii="AvantGarde" w:hAnsi="AvantGarde"/>
        <w:kern w:val="20"/>
        <w:sz w:val="12"/>
        <w:lang w:val="en-US"/>
      </w:rPr>
      <w:t xml:space="preserve">Saint-Gobain </w:t>
    </w:r>
    <w:proofErr w:type="spellStart"/>
    <w:r w:rsidRPr="003C788C">
      <w:rPr>
        <w:rFonts w:ascii="AvantGarde" w:hAnsi="AvantGarde"/>
        <w:kern w:val="20"/>
        <w:sz w:val="12"/>
        <w:lang w:val="en-US"/>
      </w:rPr>
      <w:t>Cristalería</w:t>
    </w:r>
    <w:proofErr w:type="gramStart"/>
    <w:r w:rsidRPr="003C788C">
      <w:rPr>
        <w:rFonts w:ascii="AvantGarde" w:hAnsi="AvantGarde"/>
        <w:kern w:val="20"/>
        <w:sz w:val="12"/>
        <w:lang w:val="en-US"/>
      </w:rPr>
      <w:t>,S</w:t>
    </w:r>
    <w:proofErr w:type="spellEnd"/>
    <w:proofErr w:type="gramEnd"/>
    <w:r w:rsidRPr="003C788C">
      <w:rPr>
        <w:rFonts w:ascii="AvantGarde" w:hAnsi="AvantGarde"/>
        <w:kern w:val="20"/>
        <w:sz w:val="12"/>
        <w:lang w:val="en-US"/>
      </w:rPr>
      <w:t xml:space="preserve"> L..</w:t>
    </w:r>
    <w:r w:rsidRPr="003C788C">
      <w:rPr>
        <w:rFonts w:ascii="AvantGarde" w:hAnsi="AvantGarde"/>
        <w:kern w:val="20"/>
        <w:sz w:val="12"/>
        <w:lang w:val="en-US"/>
      </w:rPr>
      <w:br/>
    </w:r>
    <w:r>
      <w:rPr>
        <w:rFonts w:ascii="AvantGarde" w:hAnsi="AvantGarde"/>
        <w:kern w:val="20"/>
        <w:sz w:val="12"/>
      </w:rPr>
      <w:t>C/ Príncipe de Vergara 132 – 28002 – Madrid (España). Tel.: +34 (91) 3 97 26 98. Fax.: +34 (91) 3 97 21 05.</w:t>
    </w:r>
    <w:r>
      <w:rPr>
        <w:rFonts w:ascii="AvantGarde" w:hAnsi="AvantGarde"/>
        <w:kern w:val="20"/>
        <w:sz w:val="12"/>
      </w:rPr>
      <w:br/>
    </w:r>
    <w:r>
      <w:rPr>
        <w:rFonts w:ascii="AvantGarde" w:hAnsi="AvantGarde"/>
        <w:sz w:val="12"/>
      </w:rPr>
      <w:t xml:space="preserve">N.I.F. B-33019241 - Inscrita en el Registro Mercantil de </w:t>
    </w:r>
    <w:proofErr w:type="spellStart"/>
    <w:r>
      <w:rPr>
        <w:rFonts w:ascii="AvantGarde" w:hAnsi="AvantGarde"/>
        <w:sz w:val="12"/>
      </w:rPr>
      <w:t>Madrid,Tomo</w:t>
    </w:r>
    <w:proofErr w:type="spellEnd"/>
    <w:r>
      <w:rPr>
        <w:rFonts w:ascii="AvantGarde" w:hAnsi="AvantGarde"/>
        <w:sz w:val="12"/>
      </w:rPr>
      <w:t xml:space="preserve"> 3.973, General 3.206 de la Sección 3ª del Libro de Sociedades, Folio 1, Hoja 30.695, Inscripción  1ª.</w:t>
    </w:r>
  </w:p>
  <w:p w:rsidR="000227D3" w:rsidRDefault="000227D3">
    <w:pPr>
      <w:pStyle w:val="Piedepgina"/>
    </w:pPr>
  </w:p>
  <w:p w:rsidR="00B54FB4" w:rsidRDefault="00B54F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45" w:rsidRDefault="00410245" w:rsidP="00B54FB4">
      <w:r>
        <w:separator/>
      </w:r>
    </w:p>
  </w:footnote>
  <w:footnote w:type="continuationSeparator" w:id="0">
    <w:p w:rsidR="00410245" w:rsidRDefault="00410245" w:rsidP="00B5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B4" w:rsidRDefault="00170683" w:rsidP="00170683">
    <w:pPr>
      <w:pStyle w:val="Encabezado"/>
      <w:jc w:val="center"/>
    </w:pPr>
    <w:r w:rsidRPr="00E9223D">
      <w:rPr>
        <w:noProof/>
        <w:lang w:eastAsia="es-ES"/>
      </w:rPr>
      <w:drawing>
        <wp:inline distT="0" distB="0" distL="0" distR="0" wp14:anchorId="72763D5C" wp14:editId="3D1CD5B4">
          <wp:extent cx="860856" cy="855024"/>
          <wp:effectExtent l="0" t="0" r="0" b="254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" t="1067" r="1357" b="2346"/>
                  <a:stretch/>
                </pic:blipFill>
                <pic:spPr bwMode="auto">
                  <a:xfrm>
                    <a:off x="0" y="0"/>
                    <a:ext cx="864791" cy="858933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54FB4" w:rsidRDefault="00B54F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61"/>
    <w:multiLevelType w:val="hybridMultilevel"/>
    <w:tmpl w:val="6F32637C"/>
    <w:lvl w:ilvl="0" w:tplc="21A8B31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1F033CA"/>
    <w:multiLevelType w:val="hybridMultilevel"/>
    <w:tmpl w:val="2E364B2E"/>
    <w:lvl w:ilvl="0" w:tplc="E7F080D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263390"/>
    <w:multiLevelType w:val="hybridMultilevel"/>
    <w:tmpl w:val="30707DB8"/>
    <w:lvl w:ilvl="0" w:tplc="399C95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E73DEE"/>
    <w:multiLevelType w:val="hybridMultilevel"/>
    <w:tmpl w:val="FC3E7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1F71"/>
    <w:multiLevelType w:val="hybridMultilevel"/>
    <w:tmpl w:val="E5266040"/>
    <w:lvl w:ilvl="0" w:tplc="2E6AF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61187D"/>
    <w:multiLevelType w:val="hybridMultilevel"/>
    <w:tmpl w:val="30707DB8"/>
    <w:lvl w:ilvl="0" w:tplc="399C95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74"/>
    <w:rsid w:val="00002B49"/>
    <w:rsid w:val="000203EB"/>
    <w:rsid w:val="00020EFB"/>
    <w:rsid w:val="000227D3"/>
    <w:rsid w:val="00072307"/>
    <w:rsid w:val="00074380"/>
    <w:rsid w:val="000E1CB9"/>
    <w:rsid w:val="00100924"/>
    <w:rsid w:val="00133D0D"/>
    <w:rsid w:val="00170683"/>
    <w:rsid w:val="00174301"/>
    <w:rsid w:val="00185C14"/>
    <w:rsid w:val="00247C86"/>
    <w:rsid w:val="002A76B9"/>
    <w:rsid w:val="002D0993"/>
    <w:rsid w:val="002E20DC"/>
    <w:rsid w:val="002F4798"/>
    <w:rsid w:val="003828D3"/>
    <w:rsid w:val="003B48BD"/>
    <w:rsid w:val="003C30EE"/>
    <w:rsid w:val="003D2F33"/>
    <w:rsid w:val="003E021F"/>
    <w:rsid w:val="00410245"/>
    <w:rsid w:val="00460B20"/>
    <w:rsid w:val="004972D8"/>
    <w:rsid w:val="004E57BD"/>
    <w:rsid w:val="004E7548"/>
    <w:rsid w:val="004F2E6B"/>
    <w:rsid w:val="00510C78"/>
    <w:rsid w:val="00555CEB"/>
    <w:rsid w:val="00556694"/>
    <w:rsid w:val="00562642"/>
    <w:rsid w:val="005C5D3F"/>
    <w:rsid w:val="005E1FEE"/>
    <w:rsid w:val="006123EC"/>
    <w:rsid w:val="00612A01"/>
    <w:rsid w:val="00617CAA"/>
    <w:rsid w:val="006B5DD8"/>
    <w:rsid w:val="00700638"/>
    <w:rsid w:val="00700F90"/>
    <w:rsid w:val="00745ADD"/>
    <w:rsid w:val="007709D0"/>
    <w:rsid w:val="007A12D4"/>
    <w:rsid w:val="007A3BB2"/>
    <w:rsid w:val="007C1C2F"/>
    <w:rsid w:val="007C2FA1"/>
    <w:rsid w:val="008E4FDC"/>
    <w:rsid w:val="008F7146"/>
    <w:rsid w:val="009C158E"/>
    <w:rsid w:val="00A305E9"/>
    <w:rsid w:val="00A427F8"/>
    <w:rsid w:val="00A53D16"/>
    <w:rsid w:val="00A62F74"/>
    <w:rsid w:val="00A704C9"/>
    <w:rsid w:val="00A77760"/>
    <w:rsid w:val="00AA122D"/>
    <w:rsid w:val="00AE4931"/>
    <w:rsid w:val="00AF237A"/>
    <w:rsid w:val="00B06DD3"/>
    <w:rsid w:val="00B241AE"/>
    <w:rsid w:val="00B54FB4"/>
    <w:rsid w:val="00C55CA4"/>
    <w:rsid w:val="00CA1AE9"/>
    <w:rsid w:val="00CB47C5"/>
    <w:rsid w:val="00D0018B"/>
    <w:rsid w:val="00D8226F"/>
    <w:rsid w:val="00D83C07"/>
    <w:rsid w:val="00DF62B8"/>
    <w:rsid w:val="00E14F8F"/>
    <w:rsid w:val="00E22BAE"/>
    <w:rsid w:val="00E32829"/>
    <w:rsid w:val="00E407AF"/>
    <w:rsid w:val="00E63143"/>
    <w:rsid w:val="00E906AA"/>
    <w:rsid w:val="00ED4085"/>
    <w:rsid w:val="00EF5483"/>
    <w:rsid w:val="00F137E5"/>
    <w:rsid w:val="00F16E7D"/>
    <w:rsid w:val="00F24492"/>
    <w:rsid w:val="00FA068B"/>
    <w:rsid w:val="00FA7134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7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F74"/>
    <w:pPr>
      <w:ind w:left="720"/>
    </w:pPr>
  </w:style>
  <w:style w:type="table" w:styleId="Tablaconcuadrcula">
    <w:name w:val="Table Grid"/>
    <w:basedOn w:val="Tablanormal"/>
    <w:uiPriority w:val="59"/>
    <w:rsid w:val="00A62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2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1F"/>
    <w:rPr>
      <w:rFonts w:ascii="Tahoma" w:hAnsi="Tahoma" w:cs="Tahoma"/>
      <w:sz w:val="16"/>
      <w:szCs w:val="16"/>
    </w:rPr>
  </w:style>
  <w:style w:type="paragraph" w:customStyle="1" w:styleId="Asunto">
    <w:name w:val="Asunto"/>
    <w:basedOn w:val="Normal"/>
    <w:rsid w:val="00E32829"/>
    <w:pPr>
      <w:overflowPunct w:val="0"/>
      <w:autoSpaceDE w:val="0"/>
      <w:autoSpaceDN w:val="0"/>
      <w:adjustRightInd w:val="0"/>
      <w:spacing w:before="620" w:after="240"/>
      <w:textAlignment w:val="baseline"/>
    </w:pPr>
    <w:rPr>
      <w:rFonts w:ascii="Century Gothic" w:eastAsia="Times New Roman" w:hAnsi="Century Gothic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B54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FB4"/>
  </w:style>
  <w:style w:type="paragraph" w:styleId="Piedepgina">
    <w:name w:val="footer"/>
    <w:basedOn w:val="Normal"/>
    <w:link w:val="PiedepginaCar"/>
    <w:uiPriority w:val="99"/>
    <w:unhideWhenUsed/>
    <w:rsid w:val="00B54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FB4"/>
  </w:style>
  <w:style w:type="paragraph" w:customStyle="1" w:styleId="Antefirma">
    <w:name w:val="Antefirma"/>
    <w:basedOn w:val="Normal"/>
    <w:rsid w:val="00B54FB4"/>
    <w:pPr>
      <w:overflowPunct w:val="0"/>
      <w:autoSpaceDE w:val="0"/>
      <w:autoSpaceDN w:val="0"/>
      <w:adjustRightInd w:val="0"/>
      <w:spacing w:before="1200" w:after="240"/>
      <w:textAlignment w:val="baseline"/>
    </w:pPr>
    <w:rPr>
      <w:rFonts w:ascii="Century Gothic" w:eastAsia="Times New Roman" w:hAnsi="Century Gothic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7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F74"/>
    <w:pPr>
      <w:ind w:left="720"/>
    </w:pPr>
  </w:style>
  <w:style w:type="table" w:styleId="Tablaconcuadrcula">
    <w:name w:val="Table Grid"/>
    <w:basedOn w:val="Tablanormal"/>
    <w:uiPriority w:val="59"/>
    <w:rsid w:val="00A62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2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1F"/>
    <w:rPr>
      <w:rFonts w:ascii="Tahoma" w:hAnsi="Tahoma" w:cs="Tahoma"/>
      <w:sz w:val="16"/>
      <w:szCs w:val="16"/>
    </w:rPr>
  </w:style>
  <w:style w:type="paragraph" w:customStyle="1" w:styleId="Asunto">
    <w:name w:val="Asunto"/>
    <w:basedOn w:val="Normal"/>
    <w:rsid w:val="00E32829"/>
    <w:pPr>
      <w:overflowPunct w:val="0"/>
      <w:autoSpaceDE w:val="0"/>
      <w:autoSpaceDN w:val="0"/>
      <w:adjustRightInd w:val="0"/>
      <w:spacing w:before="620" w:after="240"/>
      <w:textAlignment w:val="baseline"/>
    </w:pPr>
    <w:rPr>
      <w:rFonts w:ascii="Century Gothic" w:eastAsia="Times New Roman" w:hAnsi="Century Gothic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B54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FB4"/>
  </w:style>
  <w:style w:type="paragraph" w:styleId="Piedepgina">
    <w:name w:val="footer"/>
    <w:basedOn w:val="Normal"/>
    <w:link w:val="PiedepginaCar"/>
    <w:uiPriority w:val="99"/>
    <w:unhideWhenUsed/>
    <w:rsid w:val="00B54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FB4"/>
  </w:style>
  <w:style w:type="paragraph" w:customStyle="1" w:styleId="Antefirma">
    <w:name w:val="Antefirma"/>
    <w:basedOn w:val="Normal"/>
    <w:rsid w:val="00B54FB4"/>
    <w:pPr>
      <w:overflowPunct w:val="0"/>
      <w:autoSpaceDE w:val="0"/>
      <w:autoSpaceDN w:val="0"/>
      <w:adjustRightInd w:val="0"/>
      <w:spacing w:before="1200" w:after="240"/>
      <w:textAlignment w:val="baseline"/>
    </w:pPr>
    <w:rPr>
      <w:rFonts w:ascii="Century Gothic" w:eastAsia="Times New Roman" w:hAnsi="Century Gothic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Rubia Jimenez, Fernando</dc:creator>
  <cp:lastModifiedBy>De la Rubia Jimenez, Fernando</cp:lastModifiedBy>
  <cp:revision>31</cp:revision>
  <dcterms:created xsi:type="dcterms:W3CDTF">2016-03-01T16:58:00Z</dcterms:created>
  <dcterms:modified xsi:type="dcterms:W3CDTF">2017-07-10T11:19:00Z</dcterms:modified>
</cp:coreProperties>
</file>